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65DEF" w14:textId="17D5213C" w:rsidR="008E2ADD" w:rsidRDefault="00CB356B" w:rsidP="008E2ADD">
      <w:pPr>
        <w:pStyle w:val="Heading1"/>
      </w:pPr>
      <w:bookmarkStart w:id="0" w:name="_Toc103943187"/>
      <w:r>
        <w:t>Overview</w:t>
      </w:r>
      <w:bookmarkEnd w:id="0"/>
    </w:p>
    <w:p w14:paraId="111EE525" w14:textId="47885188" w:rsidR="00456E5D" w:rsidRDefault="00456E5D" w:rsidP="00456E5D">
      <w:pPr>
        <w:pStyle w:val="BodyText"/>
      </w:pPr>
      <w:r w:rsidRPr="00456E5D">
        <w:t>This paper draws on research and sector intelligence on the impacts of COVID-19 on the cultural and creative industries. It outlines the impacts of disruptions on arts and creativity for Australian audiences, arts and cultural organisations, and artists and creative workers. It highlights successes and learnings</w:t>
      </w:r>
      <w:r w:rsidR="00CB614A">
        <w:t>, where we now find ourselves,</w:t>
      </w:r>
      <w:r w:rsidRPr="00456E5D">
        <w:t xml:space="preserve"> and underscores the sector’s needs should Australia experience similar disruptions in the future.</w:t>
      </w:r>
    </w:p>
    <w:p w14:paraId="26E7A7EA" w14:textId="77777777" w:rsidR="00250DC2" w:rsidRPr="00456E5D" w:rsidRDefault="00250DC2" w:rsidP="00456E5D">
      <w:pPr>
        <w:pStyle w:val="BodyText"/>
      </w:pPr>
    </w:p>
    <w:p w14:paraId="7E63DEF9" w14:textId="77777777" w:rsidR="00DE449A" w:rsidRDefault="00DE449A" w:rsidP="00DE449A">
      <w:pPr>
        <w:pStyle w:val="TOCHeading"/>
        <w:framePr w:wrap="around" w:vAnchor="text" w:hAnchor="page" w:x="781" w:y="7"/>
      </w:pPr>
      <w:bookmarkStart w:id="1" w:name="_Toc103943189"/>
      <w:r>
        <w:t>Contents</w:t>
      </w:r>
      <w:bookmarkEnd w:id="1"/>
    </w:p>
    <w:p w14:paraId="586DE1FA" w14:textId="77777777" w:rsidR="00DE449A" w:rsidRDefault="00DE449A" w:rsidP="00DE449A">
      <w:pPr>
        <w:pStyle w:val="BodyText"/>
      </w:pPr>
    </w:p>
    <w:p w14:paraId="0A8326D7" w14:textId="77777777" w:rsidR="00DE449A" w:rsidRPr="00B85AF9" w:rsidRDefault="00DE449A" w:rsidP="00DE449A">
      <w:pPr>
        <w:pStyle w:val="BodyText"/>
      </w:pPr>
    </w:p>
    <w:sdt>
      <w:sdtPr>
        <w:rPr>
          <w:b w:val="0"/>
          <w:noProof w:val="0"/>
          <w:sz w:val="22"/>
        </w:rPr>
        <w:id w:val="58682464"/>
        <w:docPartObj>
          <w:docPartGallery w:val="Table of Contents"/>
          <w:docPartUnique/>
        </w:docPartObj>
      </w:sdtPr>
      <w:sdtEndPr>
        <w:rPr>
          <w:bCs/>
        </w:rPr>
      </w:sdtEndPr>
      <w:sdtContent>
        <w:p w14:paraId="6475B29C" w14:textId="2A2875F8" w:rsidR="00DE449A" w:rsidRDefault="00DE449A" w:rsidP="00DE449A">
          <w:pPr>
            <w:pStyle w:val="TOC1"/>
            <w:rPr>
              <w:rFonts w:eastAsiaTheme="minorEastAsia"/>
              <w:b w:val="0"/>
              <w:sz w:val="22"/>
              <w:lang w:eastAsia="en-AU"/>
            </w:rPr>
          </w:pPr>
          <w:r>
            <w:fldChar w:fldCharType="begin"/>
          </w:r>
          <w:r>
            <w:instrText xml:space="preserve"> TOC \o "1-3" \h \z \u </w:instrText>
          </w:r>
          <w:r>
            <w:fldChar w:fldCharType="separate"/>
          </w:r>
          <w:hyperlink w:anchor="_Toc103943187" w:history="1">
            <w:r w:rsidRPr="00241CF1">
              <w:rPr>
                <w:rStyle w:val="Hyperlink"/>
              </w:rPr>
              <w:t>Overview</w:t>
            </w:r>
            <w:r>
              <w:rPr>
                <w:webHidden/>
              </w:rPr>
              <w:tab/>
            </w:r>
            <w:r>
              <w:rPr>
                <w:webHidden/>
              </w:rPr>
              <w:fldChar w:fldCharType="begin"/>
            </w:r>
            <w:r>
              <w:rPr>
                <w:webHidden/>
              </w:rPr>
              <w:instrText xml:space="preserve"> PAGEREF _Toc103943187 \h </w:instrText>
            </w:r>
            <w:r>
              <w:rPr>
                <w:webHidden/>
              </w:rPr>
            </w:r>
            <w:r>
              <w:rPr>
                <w:webHidden/>
              </w:rPr>
              <w:fldChar w:fldCharType="separate"/>
            </w:r>
            <w:r w:rsidR="0043398B">
              <w:rPr>
                <w:webHidden/>
              </w:rPr>
              <w:t>1</w:t>
            </w:r>
            <w:r>
              <w:rPr>
                <w:webHidden/>
              </w:rPr>
              <w:fldChar w:fldCharType="end"/>
            </w:r>
          </w:hyperlink>
        </w:p>
        <w:p w14:paraId="125206D5" w14:textId="44AD9C0E" w:rsidR="00DE449A" w:rsidRDefault="00F476D5" w:rsidP="00DE449A">
          <w:pPr>
            <w:pStyle w:val="TOC1"/>
            <w:rPr>
              <w:rFonts w:eastAsiaTheme="minorEastAsia"/>
              <w:b w:val="0"/>
              <w:sz w:val="22"/>
              <w:lang w:eastAsia="en-AU"/>
            </w:rPr>
          </w:pPr>
          <w:hyperlink w:anchor="_Toc103943188" w:history="1">
            <w:r w:rsidR="00DE449A" w:rsidRPr="00241CF1">
              <w:rPr>
                <w:rStyle w:val="Hyperlink"/>
              </w:rPr>
              <w:t>Introduction</w:t>
            </w:r>
            <w:r w:rsidR="00DE449A">
              <w:rPr>
                <w:webHidden/>
              </w:rPr>
              <w:tab/>
            </w:r>
            <w:r w:rsidR="00DE449A">
              <w:rPr>
                <w:webHidden/>
              </w:rPr>
              <w:fldChar w:fldCharType="begin"/>
            </w:r>
            <w:r w:rsidR="00DE449A">
              <w:rPr>
                <w:webHidden/>
              </w:rPr>
              <w:instrText xml:space="preserve"> PAGEREF _Toc103943188 \h </w:instrText>
            </w:r>
            <w:r w:rsidR="00DE449A">
              <w:rPr>
                <w:webHidden/>
              </w:rPr>
            </w:r>
            <w:r w:rsidR="00DE449A">
              <w:rPr>
                <w:webHidden/>
              </w:rPr>
              <w:fldChar w:fldCharType="separate"/>
            </w:r>
            <w:r w:rsidR="0043398B">
              <w:rPr>
                <w:webHidden/>
              </w:rPr>
              <w:t>2</w:t>
            </w:r>
            <w:r w:rsidR="00DE449A">
              <w:rPr>
                <w:webHidden/>
              </w:rPr>
              <w:fldChar w:fldCharType="end"/>
            </w:r>
          </w:hyperlink>
        </w:p>
        <w:p w14:paraId="6FDCCC07" w14:textId="2433B9B4" w:rsidR="00DE449A" w:rsidRDefault="00F476D5" w:rsidP="00DE449A">
          <w:pPr>
            <w:pStyle w:val="TOC1"/>
            <w:rPr>
              <w:rFonts w:eastAsiaTheme="minorEastAsia"/>
              <w:b w:val="0"/>
              <w:sz w:val="22"/>
              <w:lang w:eastAsia="en-AU"/>
            </w:rPr>
          </w:pPr>
          <w:hyperlink w:anchor="_Toc103943189" w:history="1">
            <w:r w:rsidR="00DE449A" w:rsidRPr="00241CF1">
              <w:rPr>
                <w:rStyle w:val="Hyperlink"/>
              </w:rPr>
              <w:t>Contents</w:t>
            </w:r>
            <w:r w:rsidR="00DE449A">
              <w:rPr>
                <w:webHidden/>
              </w:rPr>
              <w:tab/>
            </w:r>
            <w:r w:rsidR="00DE449A">
              <w:rPr>
                <w:webHidden/>
              </w:rPr>
              <w:fldChar w:fldCharType="begin"/>
            </w:r>
            <w:r w:rsidR="00DE449A">
              <w:rPr>
                <w:webHidden/>
              </w:rPr>
              <w:instrText xml:space="preserve"> PAGEREF _Toc103943189 \h </w:instrText>
            </w:r>
            <w:r w:rsidR="00DE449A">
              <w:rPr>
                <w:webHidden/>
              </w:rPr>
            </w:r>
            <w:r w:rsidR="00DE449A">
              <w:rPr>
                <w:webHidden/>
              </w:rPr>
              <w:fldChar w:fldCharType="separate"/>
            </w:r>
            <w:r w:rsidR="0043398B">
              <w:rPr>
                <w:webHidden/>
              </w:rPr>
              <w:t>1</w:t>
            </w:r>
            <w:r w:rsidR="00DE449A">
              <w:rPr>
                <w:webHidden/>
              </w:rPr>
              <w:fldChar w:fldCharType="end"/>
            </w:r>
          </w:hyperlink>
        </w:p>
        <w:p w14:paraId="048C20A8" w14:textId="00DD817A" w:rsidR="00DE449A" w:rsidRDefault="001D2FBE" w:rsidP="00DE449A">
          <w:pPr>
            <w:pStyle w:val="TOC1"/>
            <w:rPr>
              <w:rFonts w:eastAsiaTheme="minorEastAsia"/>
              <w:b w:val="0"/>
              <w:sz w:val="22"/>
              <w:lang w:eastAsia="en-AU"/>
            </w:rPr>
          </w:pPr>
          <w:r>
            <w:t xml:space="preserve">Summary </w:t>
          </w:r>
          <w:hyperlink w:anchor="_Toc103943190" w:history="1">
            <w:r w:rsidR="00DE449A" w:rsidRPr="00241CF1">
              <w:rPr>
                <w:rStyle w:val="Hyperlink"/>
              </w:rPr>
              <w:t>points</w:t>
            </w:r>
            <w:r w:rsidR="00DE449A">
              <w:rPr>
                <w:webHidden/>
              </w:rPr>
              <w:tab/>
            </w:r>
            <w:r w:rsidR="00DE449A">
              <w:rPr>
                <w:webHidden/>
              </w:rPr>
              <w:fldChar w:fldCharType="begin"/>
            </w:r>
            <w:r w:rsidR="00DE449A">
              <w:rPr>
                <w:webHidden/>
              </w:rPr>
              <w:instrText xml:space="preserve"> PAGEREF _Toc103943190 \h </w:instrText>
            </w:r>
            <w:r w:rsidR="00DE449A">
              <w:rPr>
                <w:webHidden/>
              </w:rPr>
            </w:r>
            <w:r w:rsidR="00DE449A">
              <w:rPr>
                <w:webHidden/>
              </w:rPr>
              <w:fldChar w:fldCharType="separate"/>
            </w:r>
            <w:r w:rsidR="0043398B">
              <w:rPr>
                <w:webHidden/>
              </w:rPr>
              <w:t>3</w:t>
            </w:r>
            <w:r w:rsidR="00DE449A">
              <w:rPr>
                <w:webHidden/>
              </w:rPr>
              <w:fldChar w:fldCharType="end"/>
            </w:r>
          </w:hyperlink>
        </w:p>
        <w:p w14:paraId="0ECD871B" w14:textId="04C750EC" w:rsidR="00DE449A" w:rsidRDefault="00F476D5" w:rsidP="00DE449A">
          <w:pPr>
            <w:pStyle w:val="TOC1"/>
            <w:rPr>
              <w:rFonts w:eastAsiaTheme="minorEastAsia"/>
              <w:b w:val="0"/>
              <w:sz w:val="22"/>
              <w:lang w:eastAsia="en-AU"/>
            </w:rPr>
          </w:pPr>
          <w:hyperlink w:anchor="_Toc103943191" w:history="1">
            <w:r w:rsidR="00DE449A" w:rsidRPr="00241CF1">
              <w:rPr>
                <w:rStyle w:val="Hyperlink"/>
              </w:rPr>
              <w:t>Timeline</w:t>
            </w:r>
            <w:r w:rsidR="00DE449A">
              <w:rPr>
                <w:webHidden/>
              </w:rPr>
              <w:tab/>
            </w:r>
            <w:r w:rsidR="00DE449A">
              <w:rPr>
                <w:webHidden/>
              </w:rPr>
              <w:fldChar w:fldCharType="begin"/>
            </w:r>
            <w:r w:rsidR="00DE449A">
              <w:rPr>
                <w:webHidden/>
              </w:rPr>
              <w:instrText xml:space="preserve"> PAGEREF _Toc103943191 \h </w:instrText>
            </w:r>
            <w:r w:rsidR="00DE449A">
              <w:rPr>
                <w:webHidden/>
              </w:rPr>
            </w:r>
            <w:r w:rsidR="00DE449A">
              <w:rPr>
                <w:webHidden/>
              </w:rPr>
              <w:fldChar w:fldCharType="separate"/>
            </w:r>
            <w:r w:rsidR="0043398B">
              <w:rPr>
                <w:webHidden/>
              </w:rPr>
              <w:t>5</w:t>
            </w:r>
            <w:r w:rsidR="00DE449A">
              <w:rPr>
                <w:webHidden/>
              </w:rPr>
              <w:fldChar w:fldCharType="end"/>
            </w:r>
          </w:hyperlink>
        </w:p>
        <w:p w14:paraId="7DC4C184" w14:textId="3622F4D5" w:rsidR="00DE449A" w:rsidRDefault="00F476D5" w:rsidP="00DE449A">
          <w:pPr>
            <w:pStyle w:val="TOC1"/>
            <w:rPr>
              <w:rFonts w:eastAsiaTheme="minorEastAsia"/>
              <w:b w:val="0"/>
              <w:sz w:val="22"/>
              <w:lang w:eastAsia="en-AU"/>
            </w:rPr>
          </w:pPr>
          <w:hyperlink w:anchor="_Toc103943192" w:history="1">
            <w:r w:rsidR="00DE449A" w:rsidRPr="00241CF1">
              <w:rPr>
                <w:rStyle w:val="Hyperlink"/>
              </w:rPr>
              <w:t>Impacts: Audiences</w:t>
            </w:r>
            <w:r w:rsidR="00DE449A">
              <w:rPr>
                <w:webHidden/>
              </w:rPr>
              <w:tab/>
            </w:r>
            <w:r w:rsidR="00DE449A">
              <w:rPr>
                <w:webHidden/>
              </w:rPr>
              <w:fldChar w:fldCharType="begin"/>
            </w:r>
            <w:r w:rsidR="00DE449A">
              <w:rPr>
                <w:webHidden/>
              </w:rPr>
              <w:instrText xml:space="preserve"> PAGEREF _Toc103943192 \h </w:instrText>
            </w:r>
            <w:r w:rsidR="00DE449A">
              <w:rPr>
                <w:webHidden/>
              </w:rPr>
            </w:r>
            <w:r w:rsidR="00DE449A">
              <w:rPr>
                <w:webHidden/>
              </w:rPr>
              <w:fldChar w:fldCharType="separate"/>
            </w:r>
            <w:r w:rsidR="0043398B">
              <w:rPr>
                <w:webHidden/>
              </w:rPr>
              <w:t>10</w:t>
            </w:r>
            <w:r w:rsidR="00DE449A">
              <w:rPr>
                <w:webHidden/>
              </w:rPr>
              <w:fldChar w:fldCharType="end"/>
            </w:r>
          </w:hyperlink>
        </w:p>
        <w:p w14:paraId="0040D354" w14:textId="783B3CE5" w:rsidR="00DE449A" w:rsidRDefault="00F476D5" w:rsidP="00DE449A">
          <w:pPr>
            <w:pStyle w:val="TOC2"/>
            <w:rPr>
              <w:rFonts w:eastAsiaTheme="minorEastAsia"/>
              <w:b w:val="0"/>
              <w:color w:val="auto"/>
              <w:lang w:eastAsia="en-AU"/>
            </w:rPr>
          </w:pPr>
          <w:hyperlink w:anchor="_Toc103943193" w:history="1">
            <w:r w:rsidR="00DE449A" w:rsidRPr="00241CF1">
              <w:rPr>
                <w:rStyle w:val="Hyperlink"/>
              </w:rPr>
              <w:t>Audiences</w:t>
            </w:r>
            <w:r w:rsidR="00DE449A">
              <w:rPr>
                <w:webHidden/>
              </w:rPr>
              <w:tab/>
            </w:r>
            <w:r w:rsidR="00DE449A">
              <w:rPr>
                <w:webHidden/>
              </w:rPr>
              <w:fldChar w:fldCharType="begin"/>
            </w:r>
            <w:r w:rsidR="00DE449A">
              <w:rPr>
                <w:webHidden/>
              </w:rPr>
              <w:instrText xml:space="preserve"> PAGEREF _Toc103943193 \h </w:instrText>
            </w:r>
            <w:r w:rsidR="00DE449A">
              <w:rPr>
                <w:webHidden/>
              </w:rPr>
            </w:r>
            <w:r w:rsidR="00DE449A">
              <w:rPr>
                <w:webHidden/>
              </w:rPr>
              <w:fldChar w:fldCharType="separate"/>
            </w:r>
            <w:r w:rsidR="0043398B">
              <w:rPr>
                <w:webHidden/>
              </w:rPr>
              <w:t>10</w:t>
            </w:r>
            <w:r w:rsidR="00DE449A">
              <w:rPr>
                <w:webHidden/>
              </w:rPr>
              <w:fldChar w:fldCharType="end"/>
            </w:r>
          </w:hyperlink>
        </w:p>
        <w:p w14:paraId="51F7E00F" w14:textId="67E3F4A4" w:rsidR="00DE449A" w:rsidRDefault="00F476D5" w:rsidP="00DE449A">
          <w:pPr>
            <w:pStyle w:val="TOC1"/>
            <w:rPr>
              <w:rFonts w:eastAsiaTheme="minorEastAsia"/>
              <w:b w:val="0"/>
              <w:sz w:val="22"/>
              <w:lang w:eastAsia="en-AU"/>
            </w:rPr>
          </w:pPr>
          <w:hyperlink w:anchor="_Toc103943205" w:history="1">
            <w:r w:rsidR="00DE449A" w:rsidRPr="00241CF1">
              <w:rPr>
                <w:rStyle w:val="Hyperlink"/>
              </w:rPr>
              <w:t>Impacts: Cultural and creative industries</w:t>
            </w:r>
            <w:r w:rsidR="00DE449A">
              <w:rPr>
                <w:webHidden/>
              </w:rPr>
              <w:tab/>
            </w:r>
            <w:r w:rsidR="00DE449A">
              <w:rPr>
                <w:webHidden/>
              </w:rPr>
              <w:fldChar w:fldCharType="begin"/>
            </w:r>
            <w:r w:rsidR="00DE449A">
              <w:rPr>
                <w:webHidden/>
              </w:rPr>
              <w:instrText xml:space="preserve"> PAGEREF _Toc103943205 \h </w:instrText>
            </w:r>
            <w:r w:rsidR="00DE449A">
              <w:rPr>
                <w:webHidden/>
              </w:rPr>
            </w:r>
            <w:r w:rsidR="00DE449A">
              <w:rPr>
                <w:webHidden/>
              </w:rPr>
              <w:fldChar w:fldCharType="separate"/>
            </w:r>
            <w:r w:rsidR="0043398B">
              <w:rPr>
                <w:webHidden/>
              </w:rPr>
              <w:t>16</w:t>
            </w:r>
            <w:r w:rsidR="00DE449A">
              <w:rPr>
                <w:webHidden/>
              </w:rPr>
              <w:fldChar w:fldCharType="end"/>
            </w:r>
          </w:hyperlink>
        </w:p>
        <w:p w14:paraId="2D5B6F2D" w14:textId="73FB6E40" w:rsidR="00DE449A" w:rsidRDefault="00F476D5" w:rsidP="00DE449A">
          <w:pPr>
            <w:pStyle w:val="TOC2"/>
            <w:rPr>
              <w:rFonts w:eastAsiaTheme="minorEastAsia"/>
              <w:b w:val="0"/>
              <w:color w:val="auto"/>
              <w:lang w:eastAsia="en-AU"/>
            </w:rPr>
          </w:pPr>
          <w:hyperlink w:anchor="_Toc103943207" w:history="1">
            <w:r w:rsidR="00DE449A" w:rsidRPr="00241CF1">
              <w:rPr>
                <w:rStyle w:val="Hyperlink"/>
                <w:rFonts w:ascii="Arial" w:hAnsi="Arial"/>
              </w:rPr>
              <w:t>Arts and cultural organisations</w:t>
            </w:r>
            <w:r w:rsidR="00DE449A">
              <w:rPr>
                <w:webHidden/>
              </w:rPr>
              <w:tab/>
            </w:r>
            <w:r w:rsidR="00DE449A">
              <w:rPr>
                <w:webHidden/>
              </w:rPr>
              <w:fldChar w:fldCharType="begin"/>
            </w:r>
            <w:r w:rsidR="00DE449A">
              <w:rPr>
                <w:webHidden/>
              </w:rPr>
              <w:instrText xml:space="preserve"> PAGEREF _Toc103943207 \h </w:instrText>
            </w:r>
            <w:r w:rsidR="00DE449A">
              <w:rPr>
                <w:webHidden/>
              </w:rPr>
            </w:r>
            <w:r w:rsidR="00DE449A">
              <w:rPr>
                <w:webHidden/>
              </w:rPr>
              <w:fldChar w:fldCharType="separate"/>
            </w:r>
            <w:r w:rsidR="0043398B">
              <w:rPr>
                <w:webHidden/>
              </w:rPr>
              <w:t>16</w:t>
            </w:r>
            <w:r w:rsidR="00DE449A">
              <w:rPr>
                <w:webHidden/>
              </w:rPr>
              <w:fldChar w:fldCharType="end"/>
            </w:r>
          </w:hyperlink>
        </w:p>
        <w:p w14:paraId="27C4DD67" w14:textId="0BE9F485" w:rsidR="00DE449A" w:rsidRDefault="00F476D5" w:rsidP="00DE449A">
          <w:pPr>
            <w:pStyle w:val="TOC2"/>
            <w:rPr>
              <w:rFonts w:eastAsiaTheme="minorEastAsia"/>
              <w:b w:val="0"/>
              <w:color w:val="auto"/>
              <w:lang w:eastAsia="en-AU"/>
            </w:rPr>
          </w:pPr>
          <w:hyperlink w:anchor="_Toc103943214" w:history="1">
            <w:r w:rsidR="00DE449A" w:rsidRPr="00241CF1">
              <w:rPr>
                <w:rStyle w:val="Hyperlink"/>
                <w:rFonts w:eastAsia="Arial"/>
              </w:rPr>
              <w:t>Independent artists</w:t>
            </w:r>
            <w:r w:rsidR="00DE449A">
              <w:rPr>
                <w:webHidden/>
              </w:rPr>
              <w:tab/>
            </w:r>
            <w:r w:rsidR="00DE449A">
              <w:rPr>
                <w:webHidden/>
              </w:rPr>
              <w:fldChar w:fldCharType="begin"/>
            </w:r>
            <w:r w:rsidR="00DE449A">
              <w:rPr>
                <w:webHidden/>
              </w:rPr>
              <w:instrText xml:space="preserve"> PAGEREF _Toc103943214 \h </w:instrText>
            </w:r>
            <w:r w:rsidR="00DE449A">
              <w:rPr>
                <w:webHidden/>
              </w:rPr>
            </w:r>
            <w:r w:rsidR="00DE449A">
              <w:rPr>
                <w:webHidden/>
              </w:rPr>
              <w:fldChar w:fldCharType="separate"/>
            </w:r>
            <w:r w:rsidR="0043398B">
              <w:rPr>
                <w:webHidden/>
              </w:rPr>
              <w:t>22</w:t>
            </w:r>
            <w:r w:rsidR="00DE449A">
              <w:rPr>
                <w:webHidden/>
              </w:rPr>
              <w:fldChar w:fldCharType="end"/>
            </w:r>
          </w:hyperlink>
        </w:p>
        <w:p w14:paraId="174789AF" w14:textId="6F48115A" w:rsidR="00DE449A" w:rsidRDefault="00DE449A" w:rsidP="00DE449A">
          <w:r>
            <w:rPr>
              <w:b/>
              <w:bCs/>
              <w:noProof/>
            </w:rPr>
            <w:fldChar w:fldCharType="end"/>
          </w:r>
        </w:p>
      </w:sdtContent>
    </w:sdt>
    <w:p w14:paraId="513A35E8" w14:textId="2E79AE3B" w:rsidR="00CB356B" w:rsidRDefault="00CB356B" w:rsidP="00CB356B">
      <w:pPr>
        <w:pStyle w:val="BodyText"/>
      </w:pPr>
    </w:p>
    <w:p w14:paraId="51265527" w14:textId="77777777" w:rsidR="006C324D" w:rsidRDefault="006C324D" w:rsidP="0050742F">
      <w:pPr>
        <w:pStyle w:val="Heading1"/>
      </w:pPr>
      <w:bookmarkStart w:id="2" w:name="_Toc103943188"/>
    </w:p>
    <w:p w14:paraId="03617A1D" w14:textId="58F52F59" w:rsidR="0050742F" w:rsidRDefault="0050742F" w:rsidP="0050742F">
      <w:pPr>
        <w:pStyle w:val="Heading1"/>
      </w:pPr>
      <w:r>
        <w:lastRenderedPageBreak/>
        <w:t>Introduction</w:t>
      </w:r>
      <w:bookmarkEnd w:id="2"/>
    </w:p>
    <w:p w14:paraId="3A4B3C51" w14:textId="77777777" w:rsidR="00B85AF9" w:rsidRPr="00B85AF9" w:rsidRDefault="00B85AF9" w:rsidP="004E702C">
      <w:pPr>
        <w:pStyle w:val="BodyText"/>
      </w:pPr>
      <w:r w:rsidRPr="00B85AF9">
        <w:t xml:space="preserve">With arts and creativity at their core, our cultural and creative industries are diverse and complex. Our cultural and creative industries play a vital role in education, supporting the development of skills, and driving innovation and technology. They can help us make sense of change, connect us – both locally and globally – and inspire us to transform our ways of living and working. </w:t>
      </w:r>
    </w:p>
    <w:p w14:paraId="7355D40D" w14:textId="678A1544" w:rsidR="00B85AF9" w:rsidRPr="00B85AF9" w:rsidRDefault="00B85AF9" w:rsidP="004E702C">
      <w:pPr>
        <w:pStyle w:val="BodyText"/>
      </w:pPr>
      <w:r>
        <w:t xml:space="preserve">But, for two years, cultural and creative industries around the world have experienced unparalleled disruption from the immediate and lasting impacts of COVID-19. </w:t>
      </w:r>
    </w:p>
    <w:p w14:paraId="3EB4F4C1" w14:textId="7248DF59" w:rsidR="00B85AF9" w:rsidRPr="00B85AF9" w:rsidRDefault="00B85AF9" w:rsidP="004E702C">
      <w:pPr>
        <w:pStyle w:val="BodyText"/>
      </w:pPr>
      <w:r w:rsidRPr="00B85AF9">
        <w:t>Australia’s own cultural and creative industries have faced tremendous challenges. As new variants have emerged, our creative sector has been impacted by the forced closure</w:t>
      </w:r>
      <w:r w:rsidR="00F511DD">
        <w:t>s</w:t>
      </w:r>
      <w:r w:rsidRPr="00B85AF9">
        <w:t xml:space="preserve"> of live performance venues, museums and galleries for long or indefinite periods. </w:t>
      </w:r>
    </w:p>
    <w:p w14:paraId="3F1E57AC" w14:textId="74A2AA2B" w:rsidR="00B85AF9" w:rsidRPr="00B85AF9" w:rsidRDefault="00B85AF9" w:rsidP="004E702C">
      <w:pPr>
        <w:pStyle w:val="BodyText"/>
      </w:pPr>
      <w:r w:rsidRPr="00B85AF9">
        <w:t xml:space="preserve">The loss of income, markets, skills and wellbeing has impacted artists and creative workers, exacerbating many existing </w:t>
      </w:r>
      <w:r w:rsidR="00C22BF7">
        <w:t xml:space="preserve">– </w:t>
      </w:r>
      <w:r w:rsidRPr="00B85AF9">
        <w:t xml:space="preserve">and </w:t>
      </w:r>
      <w:r w:rsidR="00C22BF7">
        <w:t xml:space="preserve">identifying </w:t>
      </w:r>
      <w:r w:rsidRPr="00B85AF9">
        <w:t xml:space="preserve">new </w:t>
      </w:r>
      <w:r w:rsidR="00C22BF7">
        <w:t xml:space="preserve">– </w:t>
      </w:r>
      <w:r w:rsidRPr="00B85AF9">
        <w:t>challenges for our creative sector. Those employed in industries driven or supported strongly by arts and creativity – such as education, tourism, hospitality, and regional and community businesses – have also felt these effects.</w:t>
      </w:r>
    </w:p>
    <w:p w14:paraId="0A1626DF" w14:textId="77777777" w:rsidR="00B85AF9" w:rsidRPr="00B85AF9" w:rsidRDefault="00B85AF9" w:rsidP="004E702C">
      <w:pPr>
        <w:pStyle w:val="BodyText"/>
      </w:pPr>
      <w:r w:rsidRPr="00B85AF9">
        <w:t xml:space="preserve">However, our creative sector has been resilient and agile in the face of uncertainty. Artists, creative workers and arts and cultural organisations have continued to innovate and re-generate, building digital capabilities and finding new ways to engage with local and global audiences.  </w:t>
      </w:r>
    </w:p>
    <w:p w14:paraId="0EDDF422" w14:textId="483CA794" w:rsidR="00B85AF9" w:rsidRPr="00B85AF9" w:rsidRDefault="00B85AF9" w:rsidP="004E702C">
      <w:pPr>
        <w:pStyle w:val="BodyText"/>
      </w:pPr>
      <w:r w:rsidRPr="00B85AF9">
        <w:t xml:space="preserve">After two years of disruptions from COVID-19, audiences are increasingly enthusiastic to return to attending arts and cultural events in person. However, as audience sentiment towards attending in person events has fluctuated with transmission rates, many in the creative sector have been left reliant on </w:t>
      </w:r>
      <w:r w:rsidR="00684563">
        <w:t>low level</w:t>
      </w:r>
      <w:r w:rsidR="000E315C">
        <w:t>s</w:t>
      </w:r>
      <w:r w:rsidR="00684563">
        <w:t xml:space="preserve"> of </w:t>
      </w:r>
      <w:r w:rsidRPr="00B85AF9">
        <w:t xml:space="preserve">transmissions. </w:t>
      </w:r>
    </w:p>
    <w:p w14:paraId="73EB7BE3" w14:textId="0D5C4320" w:rsidR="00B85AF9" w:rsidRPr="00B85AF9" w:rsidRDefault="00B85AF9" w:rsidP="004E702C">
      <w:pPr>
        <w:pStyle w:val="BodyText"/>
      </w:pPr>
      <w:r w:rsidRPr="00B85AF9">
        <w:t>Many studies have examined the extent and varying impacts of COVID-19 on Australia’s arts and creativity. It is clear that</w:t>
      </w:r>
      <w:r w:rsidR="002F5EB5">
        <w:t>,</w:t>
      </w:r>
      <w:r w:rsidRPr="00B85AF9">
        <w:t xml:space="preserve"> while our arts and cultural sector has been resilient, COVID-19 has weakened our sector and many organisations, artists and creative workers are vulnerable to future disruptions.</w:t>
      </w:r>
      <w:r w:rsidRPr="00B85AF9">
        <w:rPr>
          <w:rFonts w:eastAsiaTheme="minorHAnsi"/>
        </w:rPr>
        <w:t xml:space="preserve"> </w:t>
      </w:r>
      <w:r w:rsidRPr="00B85AF9">
        <w:t>This has impacted the immediate and future viability of our broader cultural and creative industries.</w:t>
      </w:r>
    </w:p>
    <w:p w14:paraId="0D8A10BD" w14:textId="647DE02D" w:rsidR="00CA0119" w:rsidRDefault="00CA0119" w:rsidP="004E702C">
      <w:pPr>
        <w:pStyle w:val="BodyText"/>
      </w:pPr>
      <w:r w:rsidRPr="00CB1ED9">
        <w:t>The cultural and creative industries, along with all Australians and</w:t>
      </w:r>
      <w:r>
        <w:t xml:space="preserve"> </w:t>
      </w:r>
      <w:r w:rsidRPr="00CB1ED9">
        <w:t>communities around the world, have experienced unparalleled</w:t>
      </w:r>
      <w:r>
        <w:t xml:space="preserve"> </w:t>
      </w:r>
      <w:r w:rsidRPr="00CB1ED9">
        <w:t xml:space="preserve">disruption from the </w:t>
      </w:r>
      <w:r>
        <w:t xml:space="preserve">immediate and </w:t>
      </w:r>
      <w:r w:rsidRPr="00CB1ED9">
        <w:t xml:space="preserve">lasting impacts of COVID-19. </w:t>
      </w:r>
      <w:r>
        <w:t>As we deal with the evolving nature of COVID-19, we must take stock of what we have learnt along the way</w:t>
      </w:r>
      <w:r w:rsidR="00675405">
        <w:t xml:space="preserve"> and where </w:t>
      </w:r>
      <w:r w:rsidR="00074D83">
        <w:t xml:space="preserve">we </w:t>
      </w:r>
      <w:r w:rsidR="005856AA">
        <w:t xml:space="preserve">now </w:t>
      </w:r>
      <w:r w:rsidR="00074D83">
        <w:t>find ourselves</w:t>
      </w:r>
      <w:r w:rsidR="005856AA">
        <w:t>.</w:t>
      </w:r>
    </w:p>
    <w:p w14:paraId="2BFCB4DE" w14:textId="281832F3" w:rsidR="00B85AF9" w:rsidRPr="004E702C" w:rsidRDefault="005856AA" w:rsidP="004E702C">
      <w:pPr>
        <w:pStyle w:val="BodyText"/>
      </w:pPr>
      <w:r>
        <w:t>T</w:t>
      </w:r>
      <w:r w:rsidR="00B85AF9" w:rsidRPr="00B85AF9">
        <w:t xml:space="preserve">his paper consolidates research and sector intelligence to provide an overview on the impacts of COVID-19 on arts and creativity for Australian audiences, arts and cultural organisations, and artists and creative workers. </w:t>
      </w:r>
    </w:p>
    <w:p w14:paraId="11CA20A7" w14:textId="77777777" w:rsidR="00DE449A" w:rsidRDefault="00DE449A" w:rsidP="00B85AF9">
      <w:pPr>
        <w:pStyle w:val="BodyText"/>
      </w:pPr>
    </w:p>
    <w:p w14:paraId="5A6B375E" w14:textId="77777777" w:rsidR="00250DC2" w:rsidRDefault="00250DC2">
      <w:pPr>
        <w:spacing w:before="80" w:after="80"/>
        <w:rPr>
          <w:rFonts w:asciiTheme="majorHAnsi" w:eastAsia="Times New Roman" w:hAnsiTheme="majorHAnsi" w:cs="Arial"/>
          <w:b/>
          <w:bCs/>
          <w:color w:val="660066" w:themeColor="accent3"/>
          <w:kern w:val="32"/>
          <w:sz w:val="30"/>
          <w:szCs w:val="42"/>
          <w:lang w:eastAsia="en-AU"/>
        </w:rPr>
      </w:pPr>
      <w:bookmarkStart w:id="3" w:name="_Toc103943190"/>
      <w:r>
        <w:br w:type="page"/>
      </w:r>
    </w:p>
    <w:p w14:paraId="7A3ABC00" w14:textId="493E0D6A" w:rsidR="00B85AF9" w:rsidRDefault="004B154E" w:rsidP="003450B7">
      <w:pPr>
        <w:pStyle w:val="Heading1"/>
      </w:pPr>
      <w:r>
        <w:lastRenderedPageBreak/>
        <w:t xml:space="preserve">Summary </w:t>
      </w:r>
      <w:r w:rsidR="003450B7">
        <w:t>points</w:t>
      </w:r>
      <w:bookmarkEnd w:id="3"/>
    </w:p>
    <w:p w14:paraId="632E3C57" w14:textId="77777777" w:rsidR="00FD4244" w:rsidRDefault="00FD4244" w:rsidP="00FD4244">
      <w:pPr>
        <w:pStyle w:val="BodyText"/>
        <w:numPr>
          <w:ilvl w:val="0"/>
          <w:numId w:val="31"/>
        </w:numPr>
        <w:spacing w:before="170" w:after="170" w:line="264" w:lineRule="auto"/>
        <w:rPr>
          <w:lang w:val="en-US"/>
        </w:rPr>
      </w:pPr>
      <w:r w:rsidRPr="007A2FB6">
        <w:rPr>
          <w:b/>
          <w:bCs/>
          <w:lang w:val="en-US"/>
        </w:rPr>
        <w:t>Audience</w:t>
      </w:r>
      <w:r>
        <w:rPr>
          <w:lang w:val="en-US"/>
        </w:rPr>
        <w:t xml:space="preserve"> behavior and sentiment towards attending in person events has varied throughout the pandemic, depending on location and level of risk of transmission. </w:t>
      </w:r>
    </w:p>
    <w:p w14:paraId="7FCDB13D" w14:textId="38526E9B" w:rsidR="00FD4244" w:rsidRDefault="00FD4244" w:rsidP="00FD4244">
      <w:pPr>
        <w:pStyle w:val="BodyText"/>
        <w:numPr>
          <w:ilvl w:val="0"/>
          <w:numId w:val="31"/>
        </w:numPr>
        <w:spacing w:before="170" w:after="170" w:line="264" w:lineRule="auto"/>
        <w:rPr>
          <w:lang w:val="en-US"/>
        </w:rPr>
      </w:pPr>
      <w:r>
        <w:rPr>
          <w:lang w:val="en-US"/>
        </w:rPr>
        <w:t xml:space="preserve">Disruptions from COVID-19 pushed many </w:t>
      </w:r>
      <w:r w:rsidRPr="00C23608">
        <w:rPr>
          <w:b/>
          <w:bCs/>
          <w:lang w:val="en-US"/>
        </w:rPr>
        <w:t>arts and</w:t>
      </w:r>
      <w:r>
        <w:rPr>
          <w:lang w:val="en-US"/>
        </w:rPr>
        <w:t xml:space="preserve"> </w:t>
      </w:r>
      <w:r w:rsidRPr="007A2FB6">
        <w:rPr>
          <w:b/>
          <w:bCs/>
          <w:lang w:val="en-US"/>
        </w:rPr>
        <w:t>cultural organisations</w:t>
      </w:r>
      <w:r>
        <w:rPr>
          <w:lang w:val="en-US"/>
        </w:rPr>
        <w:t xml:space="preserve"> to expand their reach and connect with Australian </w:t>
      </w:r>
      <w:r w:rsidRPr="007A2FB6">
        <w:rPr>
          <w:b/>
          <w:bCs/>
          <w:lang w:val="en-US"/>
        </w:rPr>
        <w:t>audiences</w:t>
      </w:r>
      <w:r>
        <w:rPr>
          <w:lang w:val="en-US"/>
        </w:rPr>
        <w:t xml:space="preserve"> online. However, many </w:t>
      </w:r>
      <w:r w:rsidRPr="007A2FB6">
        <w:rPr>
          <w:b/>
          <w:bCs/>
          <w:lang w:val="en-US"/>
        </w:rPr>
        <w:t>organisations</w:t>
      </w:r>
      <w:r>
        <w:rPr>
          <w:lang w:val="en-US"/>
        </w:rPr>
        <w:t xml:space="preserve"> experienced ‘digital exclusion’ as larger state and national institutions </w:t>
      </w:r>
      <w:r w:rsidR="00114A64">
        <w:rPr>
          <w:lang w:val="en-US"/>
        </w:rPr>
        <w:t xml:space="preserve">tended to </w:t>
      </w:r>
      <w:r>
        <w:rPr>
          <w:lang w:val="en-US"/>
        </w:rPr>
        <w:t>ha</w:t>
      </w:r>
      <w:r w:rsidR="00281287">
        <w:rPr>
          <w:lang w:val="en-US"/>
        </w:rPr>
        <w:t>ve</w:t>
      </w:r>
      <w:r>
        <w:rPr>
          <w:lang w:val="en-US"/>
        </w:rPr>
        <w:t xml:space="preserve"> far greater investment and resourcing than </w:t>
      </w:r>
      <w:r w:rsidRPr="007A2FB6">
        <w:rPr>
          <w:b/>
          <w:bCs/>
          <w:lang w:val="en-US"/>
        </w:rPr>
        <w:t>smaller organisations</w:t>
      </w:r>
      <w:r>
        <w:rPr>
          <w:lang w:val="en-US"/>
        </w:rPr>
        <w:t xml:space="preserve"> to create and share digital cultural content. </w:t>
      </w:r>
      <w:r w:rsidRPr="008E3BF5">
        <w:rPr>
          <w:b/>
          <w:bCs/>
          <w:lang w:val="en-US"/>
        </w:rPr>
        <w:t xml:space="preserve">Smaller </w:t>
      </w:r>
      <w:r w:rsidRPr="008239BD">
        <w:rPr>
          <w:b/>
          <w:bCs/>
          <w:lang w:val="en-US"/>
        </w:rPr>
        <w:t>arts and</w:t>
      </w:r>
      <w:r>
        <w:rPr>
          <w:lang w:val="en-US"/>
        </w:rPr>
        <w:t xml:space="preserve"> </w:t>
      </w:r>
      <w:r w:rsidRPr="007A2FB6">
        <w:rPr>
          <w:b/>
          <w:bCs/>
          <w:lang w:val="en-US"/>
        </w:rPr>
        <w:t>cultural organisations</w:t>
      </w:r>
      <w:r>
        <w:rPr>
          <w:lang w:val="en-US"/>
        </w:rPr>
        <w:t xml:space="preserve"> need digital skills training and resourcing support in order to continue to engage digitally in an effective and meaningful way. </w:t>
      </w:r>
    </w:p>
    <w:p w14:paraId="111576FC" w14:textId="77777777" w:rsidR="00FD4244" w:rsidRPr="00AF7FC6" w:rsidRDefault="00FD4244" w:rsidP="00FD4244">
      <w:pPr>
        <w:pStyle w:val="BodyText"/>
        <w:numPr>
          <w:ilvl w:val="0"/>
          <w:numId w:val="31"/>
        </w:numPr>
        <w:spacing w:before="170" w:after="170" w:line="264" w:lineRule="auto"/>
        <w:rPr>
          <w:lang w:val="en-US"/>
        </w:rPr>
      </w:pPr>
      <w:r w:rsidRPr="007A2FB6">
        <w:rPr>
          <w:b/>
          <w:bCs/>
          <w:lang w:val="en-US"/>
        </w:rPr>
        <w:t>Audiences</w:t>
      </w:r>
      <w:r>
        <w:rPr>
          <w:lang w:val="en-US"/>
        </w:rPr>
        <w:t xml:space="preserve"> initially preferred digital and outdoor events to in person engagement as these had low risk of transmission. However,</w:t>
      </w:r>
      <w:r w:rsidRPr="001551E6">
        <w:rPr>
          <w:lang w:val="en-US"/>
        </w:rPr>
        <w:t xml:space="preserve"> </w:t>
      </w:r>
      <w:r>
        <w:rPr>
          <w:lang w:val="en-US"/>
        </w:rPr>
        <w:t xml:space="preserve">while some </w:t>
      </w:r>
      <w:r w:rsidRPr="007A2FB6">
        <w:rPr>
          <w:b/>
          <w:bCs/>
          <w:lang w:val="en-US"/>
        </w:rPr>
        <w:t>audiences</w:t>
      </w:r>
      <w:r>
        <w:rPr>
          <w:lang w:val="en-US"/>
        </w:rPr>
        <w:t xml:space="preserve"> have become ‘digital devotees’, some experienced ‘digital fatigue’ by 2021 and were no longer interested in digital programs. </w:t>
      </w:r>
    </w:p>
    <w:p w14:paraId="09B72A40" w14:textId="77777777" w:rsidR="004B20CE" w:rsidRDefault="7E1499B5" w:rsidP="004B20CE">
      <w:pPr>
        <w:pStyle w:val="BodyText"/>
        <w:numPr>
          <w:ilvl w:val="0"/>
          <w:numId w:val="31"/>
        </w:numPr>
        <w:spacing w:before="170" w:after="170" w:line="264" w:lineRule="auto"/>
      </w:pPr>
      <w:r>
        <w:t xml:space="preserve">While </w:t>
      </w:r>
      <w:r w:rsidRPr="3F6F4A4F">
        <w:rPr>
          <w:b/>
          <w:bCs/>
        </w:rPr>
        <w:t>audiences</w:t>
      </w:r>
      <w:r>
        <w:t xml:space="preserve"> have been increasingly ready to engage in live attendance in recent months, it is clear levels of comfort on attending public events depends on location and rates of community transmission. This leaves </w:t>
      </w:r>
      <w:r w:rsidRPr="3F6F4A4F">
        <w:rPr>
          <w:b/>
          <w:bCs/>
        </w:rPr>
        <w:t>artists</w:t>
      </w:r>
      <w:r>
        <w:t xml:space="preserve">, </w:t>
      </w:r>
      <w:r w:rsidRPr="3F6F4A4F">
        <w:rPr>
          <w:b/>
          <w:bCs/>
        </w:rPr>
        <w:t xml:space="preserve">creative workers </w:t>
      </w:r>
      <w:r>
        <w:t xml:space="preserve">and </w:t>
      </w:r>
      <w:r w:rsidRPr="3F6F4A4F">
        <w:rPr>
          <w:b/>
          <w:bCs/>
          <w:lang w:val="en-US"/>
        </w:rPr>
        <w:t>arts and</w:t>
      </w:r>
      <w:r w:rsidRPr="3F6F4A4F">
        <w:rPr>
          <w:lang w:val="en-US"/>
        </w:rPr>
        <w:t xml:space="preserve"> </w:t>
      </w:r>
      <w:r w:rsidRPr="3F6F4A4F">
        <w:rPr>
          <w:b/>
          <w:bCs/>
          <w:lang w:val="en-US"/>
        </w:rPr>
        <w:t>cultural organisations</w:t>
      </w:r>
      <w:r w:rsidRPr="3F6F4A4F">
        <w:rPr>
          <w:lang w:val="en-US"/>
        </w:rPr>
        <w:t xml:space="preserve"> </w:t>
      </w:r>
      <w:r>
        <w:t xml:space="preserve">reliant on </w:t>
      </w:r>
      <w:r w:rsidR="16C96557">
        <w:t xml:space="preserve">low </w:t>
      </w:r>
      <w:r>
        <w:t>level</w:t>
      </w:r>
      <w:r w:rsidR="16C96557">
        <w:t>s</w:t>
      </w:r>
      <w:r>
        <w:t xml:space="preserve"> of transmissions </w:t>
      </w:r>
      <w:r w:rsidR="16C96557">
        <w:t>in order to have broad audience co</w:t>
      </w:r>
      <w:r w:rsidR="3A97E47D">
        <w:t>nfidence</w:t>
      </w:r>
      <w:r>
        <w:t>. There is a need to remain responsive to audience needs to restore confidence.</w:t>
      </w:r>
    </w:p>
    <w:p w14:paraId="4865FD6F" w14:textId="159ED752" w:rsidR="00FD4244" w:rsidRDefault="7E1499B5" w:rsidP="004B20CE">
      <w:pPr>
        <w:pStyle w:val="BodyText"/>
        <w:numPr>
          <w:ilvl w:val="0"/>
          <w:numId w:val="31"/>
        </w:numPr>
        <w:spacing w:before="170" w:after="170" w:line="264" w:lineRule="auto"/>
      </w:pPr>
      <w:r>
        <w:t xml:space="preserve">Although </w:t>
      </w:r>
      <w:r w:rsidRPr="004B20CE">
        <w:rPr>
          <w:b/>
          <w:bCs/>
          <w:lang w:val="en-US"/>
        </w:rPr>
        <w:t>arts and</w:t>
      </w:r>
      <w:r w:rsidRPr="004B20CE">
        <w:rPr>
          <w:lang w:val="en-US"/>
        </w:rPr>
        <w:t xml:space="preserve"> </w:t>
      </w:r>
      <w:r w:rsidRPr="004B20CE">
        <w:rPr>
          <w:b/>
          <w:bCs/>
          <w:lang w:val="en-US"/>
        </w:rPr>
        <w:t>cultural organisations</w:t>
      </w:r>
      <w:r w:rsidRPr="004B20CE">
        <w:rPr>
          <w:lang w:val="en-US"/>
        </w:rPr>
        <w:t xml:space="preserve"> </w:t>
      </w:r>
      <w:r>
        <w:t xml:space="preserve">were resilient and creative in their response to COVID-19, they are still </w:t>
      </w:r>
      <w:r w:rsidR="5D73F090">
        <w:t>recovering</w:t>
      </w:r>
      <w:r>
        <w:t xml:space="preserve"> from the fallout of cancelled programs and events. The impacts of loss of revenue, including sponsorship, private giving and government investment, will be long lasting. </w:t>
      </w:r>
    </w:p>
    <w:p w14:paraId="01F23E7E" w14:textId="77777777" w:rsidR="004B20CE" w:rsidRDefault="00FD4244" w:rsidP="004B20CE">
      <w:pPr>
        <w:pStyle w:val="BodyText"/>
        <w:numPr>
          <w:ilvl w:val="0"/>
          <w:numId w:val="31"/>
        </w:numPr>
        <w:spacing w:before="170" w:after="170" w:line="264" w:lineRule="auto"/>
        <w:rPr>
          <w:rFonts w:eastAsia="Arial"/>
        </w:rPr>
      </w:pPr>
      <w:r>
        <w:rPr>
          <w:rFonts w:eastAsia="Arial"/>
        </w:rPr>
        <w:t xml:space="preserve">Before COVID-19, </w:t>
      </w:r>
      <w:r w:rsidRPr="007A2FB6">
        <w:rPr>
          <w:rFonts w:eastAsia="Arial"/>
          <w:b/>
          <w:bCs/>
        </w:rPr>
        <w:t>artists</w:t>
      </w:r>
      <w:r>
        <w:rPr>
          <w:rFonts w:eastAsia="Arial"/>
        </w:rPr>
        <w:t xml:space="preserve"> already earned below the Australian workforce average and often received income from multiple sources. COVID-19 has exacerbated </w:t>
      </w:r>
      <w:r w:rsidRPr="007A2FB6">
        <w:rPr>
          <w:rFonts w:eastAsia="Arial"/>
          <w:b/>
          <w:bCs/>
        </w:rPr>
        <w:t>artist</w:t>
      </w:r>
      <w:r>
        <w:rPr>
          <w:rFonts w:eastAsia="Arial"/>
        </w:rPr>
        <w:t xml:space="preserve"> vulnerability as many have lost </w:t>
      </w:r>
      <w:r w:rsidR="00F51764">
        <w:rPr>
          <w:rFonts w:eastAsia="Arial"/>
        </w:rPr>
        <w:t xml:space="preserve">multiple </w:t>
      </w:r>
      <w:r>
        <w:rPr>
          <w:rFonts w:eastAsia="Arial"/>
        </w:rPr>
        <w:t xml:space="preserve">sources of income. </w:t>
      </w:r>
    </w:p>
    <w:p w14:paraId="3D4FBF72" w14:textId="205F454C" w:rsidR="00FD4244" w:rsidRPr="004B20CE" w:rsidRDefault="00FD4244" w:rsidP="004B20CE">
      <w:pPr>
        <w:pStyle w:val="BodyText"/>
        <w:numPr>
          <w:ilvl w:val="0"/>
          <w:numId w:val="31"/>
        </w:numPr>
        <w:spacing w:before="170" w:after="170" w:line="264" w:lineRule="auto"/>
        <w:rPr>
          <w:rFonts w:eastAsia="Arial"/>
        </w:rPr>
      </w:pPr>
      <w:r w:rsidRPr="004B20CE">
        <w:rPr>
          <w:rFonts w:ascii="Arial" w:hAnsi="Arial"/>
          <w:lang w:val="en-US"/>
        </w:rPr>
        <w:t xml:space="preserve">Across Australia, the cancellation of festivals, literary events, live performances and art fairs had a devastating effect on job stability, and many highly skilled </w:t>
      </w:r>
      <w:r w:rsidRPr="004B20CE">
        <w:rPr>
          <w:rFonts w:ascii="Arial" w:hAnsi="Arial"/>
          <w:b/>
          <w:bCs/>
          <w:lang w:val="en-US"/>
        </w:rPr>
        <w:t>creative workers</w:t>
      </w:r>
      <w:r w:rsidRPr="004B20CE">
        <w:rPr>
          <w:rFonts w:ascii="Arial" w:hAnsi="Arial"/>
          <w:lang w:val="en-US"/>
        </w:rPr>
        <w:t xml:space="preserve"> left the </w:t>
      </w:r>
      <w:r w:rsidRPr="004B20CE">
        <w:rPr>
          <w:rFonts w:ascii="Arial" w:hAnsi="Arial"/>
          <w:b/>
          <w:bCs/>
          <w:lang w:val="en-US"/>
        </w:rPr>
        <w:t>arts and cultural sector</w:t>
      </w:r>
      <w:r w:rsidRPr="004B20CE">
        <w:rPr>
          <w:rFonts w:ascii="Arial" w:hAnsi="Arial"/>
          <w:lang w:val="en-US"/>
        </w:rPr>
        <w:t xml:space="preserve">. Many </w:t>
      </w:r>
      <w:r w:rsidRPr="004B20CE">
        <w:rPr>
          <w:rFonts w:ascii="Arial" w:hAnsi="Arial"/>
          <w:b/>
          <w:bCs/>
          <w:lang w:val="en-US"/>
        </w:rPr>
        <w:t>artists</w:t>
      </w:r>
      <w:r w:rsidRPr="004B20CE">
        <w:rPr>
          <w:rFonts w:ascii="Arial" w:hAnsi="Arial"/>
          <w:lang w:val="en-US"/>
        </w:rPr>
        <w:t xml:space="preserve"> have also considered giving up their artistic practice. The Council’s next professional artists survey in 2023 will </w:t>
      </w:r>
      <w:r>
        <w:t xml:space="preserve">explore these trends and provide more information on the impacts of the pandemic on artists’ lives and working conditions. </w:t>
      </w:r>
    </w:p>
    <w:p w14:paraId="3770509B" w14:textId="17C27E8D" w:rsidR="00FD4244" w:rsidRPr="00155D09" w:rsidRDefault="00FD4244" w:rsidP="00FD4244">
      <w:pPr>
        <w:pStyle w:val="BodyText"/>
        <w:numPr>
          <w:ilvl w:val="0"/>
          <w:numId w:val="31"/>
        </w:numPr>
        <w:spacing w:before="170" w:after="170" w:line="264" w:lineRule="auto"/>
        <w:rPr>
          <w:rFonts w:eastAsia="Arial"/>
        </w:rPr>
      </w:pPr>
      <w:r w:rsidRPr="00316FA1">
        <w:rPr>
          <w:rFonts w:eastAsia="Arial"/>
        </w:rPr>
        <w:t>The unexpected</w:t>
      </w:r>
      <w:r>
        <w:rPr>
          <w:rFonts w:eastAsia="Arial"/>
        </w:rPr>
        <w:t xml:space="preserve"> and then recurring</w:t>
      </w:r>
      <w:r w:rsidRPr="00316FA1">
        <w:rPr>
          <w:rFonts w:eastAsia="Arial"/>
        </w:rPr>
        <w:t xml:space="preserve"> loss of employment and social interaction, and the impacts of sudden, localised lockdowns to prevent further outbreaks</w:t>
      </w:r>
      <w:r w:rsidRPr="00155D09">
        <w:rPr>
          <w:rFonts w:eastAsiaTheme="minorEastAsia"/>
        </w:rPr>
        <w:t xml:space="preserve"> </w:t>
      </w:r>
      <w:r w:rsidRPr="00CB4417">
        <w:rPr>
          <w:rFonts w:eastAsiaTheme="minorEastAsia"/>
        </w:rPr>
        <w:t>ha</w:t>
      </w:r>
      <w:r w:rsidR="00F63FE3">
        <w:rPr>
          <w:rFonts w:eastAsiaTheme="minorEastAsia"/>
        </w:rPr>
        <w:t>ve</w:t>
      </w:r>
      <w:r w:rsidRPr="00CB4417">
        <w:rPr>
          <w:bCs/>
        </w:rPr>
        <w:t xml:space="preserve"> seen m</w:t>
      </w:r>
      <w:r w:rsidRPr="00CB4417">
        <w:rPr>
          <w:rFonts w:eastAsiaTheme="minorEastAsia"/>
        </w:rPr>
        <w:t xml:space="preserve">any </w:t>
      </w:r>
      <w:r w:rsidRPr="007A2FB6">
        <w:rPr>
          <w:rFonts w:eastAsiaTheme="minorEastAsia"/>
          <w:b/>
          <w:bCs/>
        </w:rPr>
        <w:t>artists</w:t>
      </w:r>
      <w:r w:rsidRPr="00CB4417">
        <w:rPr>
          <w:rFonts w:eastAsiaTheme="minorEastAsia"/>
        </w:rPr>
        <w:t xml:space="preserve"> report suffering or exacerbated </w:t>
      </w:r>
      <w:r w:rsidRPr="00642CBC">
        <w:t>me</w:t>
      </w:r>
      <w:r>
        <w:t>n</w:t>
      </w:r>
      <w:r w:rsidRPr="00642CBC">
        <w:t xml:space="preserve">tal </w:t>
      </w:r>
      <w:r>
        <w:t>health since the pandemic began</w:t>
      </w:r>
      <w:r w:rsidRPr="00CB4417">
        <w:rPr>
          <w:rFonts w:eastAsiaTheme="minorEastAsia"/>
        </w:rPr>
        <w:t>.</w:t>
      </w:r>
    </w:p>
    <w:p w14:paraId="6AD11C21" w14:textId="6F7F3DBF" w:rsidR="00FD4244" w:rsidRDefault="00FD4244" w:rsidP="00FD4244">
      <w:pPr>
        <w:pStyle w:val="BodyText"/>
        <w:numPr>
          <w:ilvl w:val="0"/>
          <w:numId w:val="31"/>
        </w:numPr>
        <w:spacing w:before="170" w:after="170" w:line="264" w:lineRule="auto"/>
      </w:pPr>
      <w:r>
        <w:t xml:space="preserve">The Australian Government’s COVID-19 response supported </w:t>
      </w:r>
      <w:r w:rsidRPr="007A2FB6">
        <w:rPr>
          <w:b/>
          <w:bCs/>
        </w:rPr>
        <w:t>artists</w:t>
      </w:r>
      <w:r>
        <w:t xml:space="preserve">, </w:t>
      </w:r>
      <w:r w:rsidRPr="007A2FB6">
        <w:rPr>
          <w:b/>
          <w:bCs/>
        </w:rPr>
        <w:t>creative workers</w:t>
      </w:r>
      <w:r>
        <w:t xml:space="preserve"> and </w:t>
      </w:r>
      <w:r w:rsidRPr="00C423BB">
        <w:rPr>
          <w:b/>
          <w:bCs/>
        </w:rPr>
        <w:t>arts and cultural organisations</w:t>
      </w:r>
      <w:r>
        <w:t xml:space="preserve"> through a range of additional, targeted investment. Combined with economy-wide support – such as JobKeeper – these packages had a material and positive impact for the sector. </w:t>
      </w:r>
    </w:p>
    <w:p w14:paraId="19B8AC2C" w14:textId="6DA6D352" w:rsidR="004B20CE" w:rsidRDefault="00FD4244" w:rsidP="004B20CE">
      <w:pPr>
        <w:pStyle w:val="BodyText"/>
        <w:numPr>
          <w:ilvl w:val="0"/>
          <w:numId w:val="31"/>
        </w:numPr>
        <w:spacing w:before="170" w:after="170" w:line="240" w:lineRule="auto"/>
      </w:pPr>
      <w:r w:rsidRPr="00BB253E">
        <w:rPr>
          <w:lang w:val="en-US"/>
        </w:rPr>
        <w:t>It has been estimated that</w:t>
      </w:r>
      <w:r w:rsidRPr="00D735C3">
        <w:rPr>
          <w:lang w:val="en-US"/>
        </w:rPr>
        <w:t xml:space="preserve"> up to around 90% of the </w:t>
      </w:r>
      <w:r w:rsidRPr="007A2FB6">
        <w:rPr>
          <w:b/>
          <w:bCs/>
          <w:lang w:val="en-US"/>
        </w:rPr>
        <w:t xml:space="preserve">cultural and creative </w:t>
      </w:r>
      <w:r w:rsidRPr="00BB6451">
        <w:rPr>
          <w:b/>
          <w:bCs/>
          <w:lang w:val="en-US"/>
        </w:rPr>
        <w:t>workforce</w:t>
      </w:r>
      <w:r w:rsidRPr="00D735C3">
        <w:rPr>
          <w:lang w:val="en-US"/>
        </w:rPr>
        <w:t xml:space="preserve"> </w:t>
      </w:r>
      <w:r>
        <w:rPr>
          <w:lang w:val="en-US"/>
        </w:rPr>
        <w:t>was potentially</w:t>
      </w:r>
      <w:r w:rsidRPr="00D735C3">
        <w:rPr>
          <w:lang w:val="en-US"/>
        </w:rPr>
        <w:t xml:space="preserve"> eligible for JobKeeper</w:t>
      </w:r>
      <w:r w:rsidRPr="00BB253E">
        <w:rPr>
          <w:lang w:val="en-US"/>
        </w:rPr>
        <w:t>.</w:t>
      </w:r>
      <w:r w:rsidR="0043398B">
        <w:rPr>
          <w:rFonts w:ascii="ZWAdobeF" w:hAnsi="ZWAdobeF" w:cs="ZWAdobeF"/>
          <w:sz w:val="2"/>
          <w:szCs w:val="2"/>
          <w:lang w:val="en-US"/>
        </w:rPr>
        <w:t>0F</w:t>
      </w:r>
      <w:r>
        <w:rPr>
          <w:rStyle w:val="FootnoteReference"/>
          <w:lang w:val="en-US"/>
        </w:rPr>
        <w:footnoteReference w:id="2"/>
      </w:r>
      <w:r w:rsidRPr="00BB253E">
        <w:rPr>
          <w:lang w:val="en-US"/>
        </w:rPr>
        <w:t xml:space="preserve"> </w:t>
      </w:r>
      <w:r w:rsidRPr="00600FB2">
        <w:t>However, accessing whole of government payments such as JobKeeper and the COVID-19 Disaster Payment scheme required proof of a range of factors,</w:t>
      </w:r>
      <w:r>
        <w:rPr>
          <w:lang w:val="en-US"/>
        </w:rPr>
        <w:t xml:space="preserve"> including evidencing lost hours or future income decline. </w:t>
      </w:r>
      <w:r w:rsidRPr="006B57E8">
        <w:t>Council research, together with various sector surveys</w:t>
      </w:r>
      <w:r>
        <w:rPr>
          <w:lang w:val="en-US"/>
        </w:rPr>
        <w:t xml:space="preserve">, </w:t>
      </w:r>
      <w:r>
        <w:rPr>
          <w:lang w:val="en-US"/>
        </w:rPr>
        <w:lastRenderedPageBreak/>
        <w:t>shows</w:t>
      </w:r>
      <w:r w:rsidRPr="00D735C3">
        <w:rPr>
          <w:lang w:val="en-US"/>
        </w:rPr>
        <w:t xml:space="preserve"> that </w:t>
      </w:r>
      <w:r>
        <w:rPr>
          <w:lang w:val="en-US"/>
        </w:rPr>
        <w:t xml:space="preserve">due to </w:t>
      </w:r>
      <w:r w:rsidRPr="00D735C3">
        <w:rPr>
          <w:lang w:val="en-US"/>
        </w:rPr>
        <w:t>the specific working conditions</w:t>
      </w:r>
      <w:r>
        <w:rPr>
          <w:lang w:val="en-US"/>
        </w:rPr>
        <w:t xml:space="preserve"> of</w:t>
      </w:r>
      <w:r w:rsidRPr="00D735C3">
        <w:rPr>
          <w:lang w:val="en-US"/>
        </w:rPr>
        <w:t xml:space="preserve"> </w:t>
      </w:r>
      <w:r w:rsidRPr="007A2FB6">
        <w:rPr>
          <w:b/>
          <w:bCs/>
          <w:lang w:val="en-US"/>
        </w:rPr>
        <w:t>artists and creative workers</w:t>
      </w:r>
      <w:r w:rsidRPr="00D735C3">
        <w:rPr>
          <w:lang w:val="en-US"/>
        </w:rPr>
        <w:t xml:space="preserve"> – many </w:t>
      </w:r>
      <w:r w:rsidRPr="00D735C3">
        <w:rPr>
          <w:rFonts w:cs="Arial"/>
        </w:rPr>
        <w:t xml:space="preserve">derive income from various sources and are commonly freelancers or self-employed – </w:t>
      </w:r>
      <w:r>
        <w:rPr>
          <w:rFonts w:cs="Arial"/>
        </w:rPr>
        <w:t xml:space="preserve">some </w:t>
      </w:r>
      <w:r w:rsidRPr="007A2FB6">
        <w:rPr>
          <w:rFonts w:cs="Arial"/>
          <w:b/>
          <w:bCs/>
        </w:rPr>
        <w:t>artists</w:t>
      </w:r>
      <w:r>
        <w:rPr>
          <w:rFonts w:cs="Arial"/>
        </w:rPr>
        <w:t xml:space="preserve"> faced, and will continue to face, structural barriers to accessing general economy-wide income support.</w:t>
      </w:r>
      <w:r>
        <w:t xml:space="preserve"> </w:t>
      </w:r>
    </w:p>
    <w:p w14:paraId="369D18C1" w14:textId="3405ECF3" w:rsidR="004B20CE" w:rsidRPr="004B20CE" w:rsidRDefault="00FD4244" w:rsidP="004B20CE">
      <w:pPr>
        <w:pStyle w:val="BodyText"/>
        <w:numPr>
          <w:ilvl w:val="0"/>
          <w:numId w:val="31"/>
        </w:numPr>
        <w:spacing w:before="170" w:after="170" w:line="240" w:lineRule="auto"/>
      </w:pPr>
      <w:r>
        <w:t xml:space="preserve">Since November 2021, the Omicron wave has caused further disruptions within the cultural and creative industries. Due to its </w:t>
      </w:r>
      <w:r w:rsidRPr="006D7AD1">
        <w:t>rapid spread</w:t>
      </w:r>
      <w:r>
        <w:t>, n</w:t>
      </w:r>
      <w:r w:rsidRPr="00F506F1">
        <w:t xml:space="preserve">ot only </w:t>
      </w:r>
      <w:r>
        <w:t>have</w:t>
      </w:r>
      <w:r w:rsidRPr="00F506F1">
        <w:t xml:space="preserve"> </w:t>
      </w:r>
      <w:r>
        <w:t>many live performances</w:t>
      </w:r>
      <w:r w:rsidRPr="00F506F1">
        <w:t xml:space="preserve"> </w:t>
      </w:r>
      <w:r>
        <w:t>had</w:t>
      </w:r>
      <w:r w:rsidRPr="00F506F1">
        <w:t xml:space="preserve"> to be cancelled or postponed due to </w:t>
      </w:r>
      <w:r w:rsidRPr="004B20CE">
        <w:rPr>
          <w:b/>
          <w:bCs/>
        </w:rPr>
        <w:t>cast, crew and staff</w:t>
      </w:r>
      <w:r w:rsidRPr="00F506F1">
        <w:t xml:space="preserve"> contracting the virus, but </w:t>
      </w:r>
      <w:r w:rsidRPr="004B20CE">
        <w:rPr>
          <w:b/>
          <w:bCs/>
        </w:rPr>
        <w:t xml:space="preserve">audiences </w:t>
      </w:r>
      <w:r>
        <w:t xml:space="preserve">have </w:t>
      </w:r>
      <w:r w:rsidRPr="00D06589">
        <w:t>cancell</w:t>
      </w:r>
      <w:r w:rsidR="00EA2B49">
        <w:t>ed</w:t>
      </w:r>
      <w:r>
        <w:t xml:space="preserve"> tickets</w:t>
      </w:r>
      <w:r w:rsidRPr="00F506F1">
        <w:t xml:space="preserve"> due to hesitancy about attending events.</w:t>
      </w:r>
      <w:r w:rsidR="0043398B">
        <w:rPr>
          <w:rFonts w:ascii="ZWAdobeF" w:hAnsi="ZWAdobeF" w:cs="ZWAdobeF"/>
          <w:sz w:val="2"/>
          <w:szCs w:val="2"/>
        </w:rPr>
        <w:t>1F</w:t>
      </w:r>
      <w:r>
        <w:rPr>
          <w:rStyle w:val="FootnoteReference"/>
        </w:rPr>
        <w:footnoteReference w:id="3"/>
      </w:r>
      <w:r>
        <w:t xml:space="preserve"> </w:t>
      </w:r>
      <w:r w:rsidRPr="004B20CE">
        <w:rPr>
          <w:rFonts w:ascii="Arial" w:hAnsi="Arial" w:cs="Arial"/>
        </w:rPr>
        <w:t xml:space="preserve">Vaccination alone has been insufficient to prevent transmission, and additional measures such as capacity limits, masks and outdoor events have been identified as potentially helpful in assisting </w:t>
      </w:r>
      <w:r w:rsidRPr="004B20CE">
        <w:rPr>
          <w:rFonts w:ascii="Arial" w:hAnsi="Arial" w:cs="Arial"/>
          <w:b/>
          <w:bCs/>
        </w:rPr>
        <w:t>audiences</w:t>
      </w:r>
      <w:r w:rsidRPr="004B20CE">
        <w:rPr>
          <w:rFonts w:ascii="Arial" w:hAnsi="Arial" w:cs="Arial"/>
        </w:rPr>
        <w:t xml:space="preserve"> to feel safer returning to live arts and cultural engagement. </w:t>
      </w:r>
    </w:p>
    <w:p w14:paraId="02EFFA99" w14:textId="625FEFEE" w:rsidR="00FD4244" w:rsidRPr="00883E64" w:rsidRDefault="00FD4244" w:rsidP="004B20CE">
      <w:pPr>
        <w:pStyle w:val="BodyText"/>
        <w:numPr>
          <w:ilvl w:val="0"/>
          <w:numId w:val="31"/>
        </w:numPr>
        <w:spacing w:before="170" w:after="170" w:line="240" w:lineRule="auto"/>
        <w:rPr>
          <w:rStyle w:val="normaltextrun"/>
        </w:rPr>
      </w:pPr>
      <w:r w:rsidRPr="00722210">
        <w:t>Research also shows</w:t>
      </w:r>
      <w:r>
        <w:t xml:space="preserve"> </w:t>
      </w:r>
      <w:r w:rsidRPr="004B20CE">
        <w:rPr>
          <w:b/>
          <w:bCs/>
        </w:rPr>
        <w:t>arts and cultural attendance</w:t>
      </w:r>
      <w:r>
        <w:t xml:space="preserve"> levels are increasing</w:t>
      </w:r>
      <w:r w:rsidR="005A6044">
        <w:t>.</w:t>
      </w:r>
      <w:r w:rsidR="0043398B">
        <w:rPr>
          <w:rFonts w:ascii="ZWAdobeF" w:hAnsi="ZWAdobeF" w:cs="ZWAdobeF"/>
          <w:sz w:val="2"/>
          <w:szCs w:val="2"/>
        </w:rPr>
        <w:t>2F</w:t>
      </w:r>
      <w:r>
        <w:rPr>
          <w:rStyle w:val="FootnoteReference"/>
        </w:rPr>
        <w:footnoteReference w:id="4"/>
      </w:r>
      <w:r>
        <w:t xml:space="preserve"> </w:t>
      </w:r>
      <w:r w:rsidRPr="004B20CE">
        <w:rPr>
          <w:rStyle w:val="normaltextrun"/>
          <w:rFonts w:ascii="Arial" w:hAnsi="Arial"/>
          <w:color w:val="000000"/>
          <w:shd w:val="clear" w:color="auto" w:fill="FFFFFF"/>
        </w:rPr>
        <w:t xml:space="preserve">Sentiment among those who are ‘ready to attend’ suggests that </w:t>
      </w:r>
      <w:r w:rsidRPr="004B20CE">
        <w:rPr>
          <w:rStyle w:val="normaltextrun"/>
          <w:rFonts w:ascii="Arial" w:hAnsi="Arial"/>
          <w:b/>
          <w:bCs/>
          <w:color w:val="000000"/>
          <w:shd w:val="clear" w:color="auto" w:fill="FFFFFF"/>
        </w:rPr>
        <w:t>audiences</w:t>
      </w:r>
      <w:r w:rsidRPr="004B20CE">
        <w:rPr>
          <w:rStyle w:val="normaltextrun"/>
          <w:rFonts w:ascii="Arial" w:hAnsi="Arial"/>
          <w:color w:val="000000"/>
          <w:shd w:val="clear" w:color="auto" w:fill="FFFFFF"/>
        </w:rPr>
        <w:t xml:space="preserve"> are becoming more comfortable with the prospect of ‘living with virus’ and attending arts and cultural events while taking necessary precautions.</w:t>
      </w:r>
      <w:r w:rsidRPr="004B20CE">
        <w:rPr>
          <w:rStyle w:val="eop"/>
          <w:rFonts w:ascii="Arial" w:hAnsi="Arial"/>
          <w:color w:val="000000"/>
          <w:shd w:val="clear" w:color="auto" w:fill="FFFFFF"/>
        </w:rPr>
        <w:t> </w:t>
      </w:r>
    </w:p>
    <w:p w14:paraId="4B6D6100" w14:textId="04462699" w:rsidR="00FD4244" w:rsidRDefault="00FD4244" w:rsidP="00FD4244">
      <w:pPr>
        <w:pStyle w:val="BodyText"/>
        <w:numPr>
          <w:ilvl w:val="0"/>
          <w:numId w:val="31"/>
        </w:numPr>
        <w:spacing w:before="170" w:after="170" w:line="264" w:lineRule="auto"/>
      </w:pPr>
      <w:r>
        <w:t xml:space="preserve">As the virus continues to impact </w:t>
      </w:r>
      <w:r w:rsidRPr="008239BD">
        <w:rPr>
          <w:b/>
          <w:bCs/>
          <w:lang w:val="en-US"/>
        </w:rPr>
        <w:t>arts and</w:t>
      </w:r>
      <w:r>
        <w:rPr>
          <w:lang w:val="en-US"/>
        </w:rPr>
        <w:t xml:space="preserve"> </w:t>
      </w:r>
      <w:r w:rsidRPr="007A2FB6">
        <w:rPr>
          <w:b/>
          <w:bCs/>
          <w:lang w:val="en-US"/>
        </w:rPr>
        <w:t>cultural organisations</w:t>
      </w:r>
      <w:r w:rsidRPr="00BB6451">
        <w:t xml:space="preserve">, </w:t>
      </w:r>
      <w:r>
        <w:rPr>
          <w:b/>
          <w:bCs/>
        </w:rPr>
        <w:t>artists and creative workers</w:t>
      </w:r>
      <w:r>
        <w:t xml:space="preserve"> well into 2022, many remain depleted in resources and are in a weakened state from the disruptions of COVID-19.</w:t>
      </w:r>
    </w:p>
    <w:p w14:paraId="124365FF" w14:textId="77777777" w:rsidR="00250DC2" w:rsidRDefault="00250DC2" w:rsidP="00250DC2">
      <w:pPr>
        <w:pStyle w:val="BodyText"/>
        <w:spacing w:before="170" w:after="170" w:line="264" w:lineRule="auto"/>
        <w:ind w:left="720"/>
      </w:pPr>
    </w:p>
    <w:p w14:paraId="7DADC5E1" w14:textId="77777777" w:rsidR="00250DC2" w:rsidRDefault="00250DC2">
      <w:pPr>
        <w:spacing w:before="80" w:after="80"/>
        <w:rPr>
          <w:rFonts w:asciiTheme="majorHAnsi" w:eastAsia="Times New Roman" w:hAnsiTheme="majorHAnsi" w:cs="Arial"/>
          <w:b/>
          <w:bCs/>
          <w:color w:val="660066" w:themeColor="accent3"/>
          <w:kern w:val="32"/>
          <w:sz w:val="30"/>
          <w:szCs w:val="42"/>
          <w:lang w:eastAsia="en-AU"/>
        </w:rPr>
      </w:pPr>
      <w:bookmarkStart w:id="4" w:name="_Toc103943191"/>
      <w:r>
        <w:br w:type="page"/>
      </w:r>
    </w:p>
    <w:p w14:paraId="3E2F174B" w14:textId="3EAC93C5" w:rsidR="00FD4244" w:rsidRDefault="00C03CA9" w:rsidP="00C03CA9">
      <w:pPr>
        <w:pStyle w:val="Heading1"/>
      </w:pPr>
      <w:r>
        <w:lastRenderedPageBreak/>
        <w:t>Timeline</w:t>
      </w:r>
      <w:bookmarkEnd w:id="4"/>
    </w:p>
    <w:p w14:paraId="561EC1A8" w14:textId="77777777" w:rsidR="00732F33" w:rsidRDefault="00732F33" w:rsidP="00732F33">
      <w:pPr>
        <w:pStyle w:val="BodyText"/>
        <w:sectPr w:rsidR="00732F33" w:rsidSect="001C2FCC">
          <w:headerReference w:type="default" r:id="rId14"/>
          <w:footerReference w:type="default" r:id="rId15"/>
          <w:headerReference w:type="first" r:id="rId16"/>
          <w:footerReference w:type="first" r:id="rId17"/>
          <w:pgSz w:w="11906" w:h="16838" w:code="9"/>
          <w:pgMar w:top="2495" w:right="794" w:bottom="1134" w:left="794" w:header="1191" w:footer="624" w:gutter="0"/>
          <w:cols w:space="340"/>
          <w:titlePg/>
          <w:docGrid w:linePitch="360"/>
        </w:sectPr>
      </w:pPr>
    </w:p>
    <w:p w14:paraId="51654ED4" w14:textId="77777777" w:rsidR="00732F33" w:rsidRPr="000B647C" w:rsidRDefault="00732F33" w:rsidP="00732F33">
      <w:pPr>
        <w:pStyle w:val="BodyText"/>
        <w:rPr>
          <w:sz w:val="20"/>
          <w:szCs w:val="20"/>
        </w:rPr>
      </w:pPr>
      <w:r>
        <w:t>•</w:t>
      </w:r>
      <w:r w:rsidRPr="000B647C">
        <w:rPr>
          <w:sz w:val="20"/>
          <w:szCs w:val="20"/>
        </w:rPr>
        <w:tab/>
        <w:t>COVID-19 dates</w:t>
      </w:r>
    </w:p>
    <w:p w14:paraId="368DFA07" w14:textId="77777777" w:rsidR="00732F33" w:rsidRDefault="00732F33" w:rsidP="00732F33">
      <w:pPr>
        <w:pStyle w:val="BodyText"/>
        <w:rPr>
          <w:sz w:val="20"/>
          <w:szCs w:val="20"/>
        </w:rPr>
      </w:pPr>
      <w:r w:rsidRPr="000B647C">
        <w:rPr>
          <w:sz w:val="20"/>
          <w:szCs w:val="20"/>
        </w:rPr>
        <w:t>•</w:t>
      </w:r>
      <w:r w:rsidRPr="000B647C">
        <w:rPr>
          <w:sz w:val="20"/>
          <w:szCs w:val="20"/>
        </w:rPr>
        <w:tab/>
      </w:r>
      <w:r w:rsidRPr="008A5D9A">
        <w:rPr>
          <w:color w:val="537FBB"/>
          <w:sz w:val="20"/>
          <w:szCs w:val="20"/>
        </w:rPr>
        <w:t>Grant announcements</w:t>
      </w:r>
    </w:p>
    <w:p w14:paraId="7FBD9E4E" w14:textId="77777777" w:rsidR="00732F33" w:rsidRPr="000B647C" w:rsidRDefault="00732F33" w:rsidP="00732F33">
      <w:pPr>
        <w:pStyle w:val="BodyText"/>
        <w:rPr>
          <w:sz w:val="20"/>
          <w:szCs w:val="20"/>
        </w:rPr>
      </w:pPr>
    </w:p>
    <w:p w14:paraId="286F0648" w14:textId="77777777" w:rsidR="00732F33" w:rsidRPr="000B647C" w:rsidRDefault="00732F33" w:rsidP="00732F33">
      <w:pPr>
        <w:pStyle w:val="BodyText"/>
        <w:rPr>
          <w:sz w:val="20"/>
          <w:szCs w:val="20"/>
        </w:rPr>
      </w:pPr>
      <w:r w:rsidRPr="000B647C">
        <w:rPr>
          <w:sz w:val="20"/>
          <w:szCs w:val="20"/>
        </w:rPr>
        <w:t>•</w:t>
      </w:r>
      <w:r w:rsidRPr="000B647C">
        <w:rPr>
          <w:sz w:val="20"/>
          <w:szCs w:val="20"/>
        </w:rPr>
        <w:tab/>
      </w:r>
      <w:r w:rsidRPr="00837805">
        <w:rPr>
          <w:color w:val="57AE93"/>
          <w:sz w:val="20"/>
          <w:szCs w:val="20"/>
        </w:rPr>
        <w:t>Audience impacts</w:t>
      </w:r>
    </w:p>
    <w:p w14:paraId="4650BA05" w14:textId="77777777" w:rsidR="00732F33" w:rsidRPr="008C24F7" w:rsidRDefault="00732F33" w:rsidP="00732F33">
      <w:pPr>
        <w:pStyle w:val="BodyText"/>
        <w:rPr>
          <w:color w:val="C76B97"/>
          <w:sz w:val="20"/>
          <w:szCs w:val="20"/>
        </w:rPr>
      </w:pPr>
      <w:r w:rsidRPr="000B647C">
        <w:rPr>
          <w:sz w:val="20"/>
          <w:szCs w:val="20"/>
        </w:rPr>
        <w:t>•</w:t>
      </w:r>
      <w:r w:rsidRPr="000B647C">
        <w:rPr>
          <w:sz w:val="20"/>
          <w:szCs w:val="20"/>
        </w:rPr>
        <w:tab/>
      </w:r>
      <w:r w:rsidRPr="008C24F7">
        <w:rPr>
          <w:color w:val="C76B97"/>
          <w:sz w:val="20"/>
          <w:szCs w:val="20"/>
        </w:rPr>
        <w:t>Economic impacts</w:t>
      </w:r>
    </w:p>
    <w:p w14:paraId="21FD1EB2" w14:textId="77777777" w:rsidR="00732F33" w:rsidRPr="000B647C" w:rsidRDefault="00732F33" w:rsidP="00732F33">
      <w:pPr>
        <w:pStyle w:val="BodyText"/>
        <w:rPr>
          <w:sz w:val="20"/>
          <w:szCs w:val="20"/>
        </w:rPr>
      </w:pPr>
    </w:p>
    <w:p w14:paraId="068F5415" w14:textId="77777777" w:rsidR="00732F33" w:rsidRPr="008A5D9A" w:rsidRDefault="00732F33" w:rsidP="00732F33">
      <w:pPr>
        <w:pStyle w:val="BodyText"/>
        <w:rPr>
          <w:color w:val="612E4F"/>
          <w:sz w:val="20"/>
          <w:szCs w:val="20"/>
        </w:rPr>
      </w:pPr>
      <w:r w:rsidRPr="000B647C">
        <w:rPr>
          <w:sz w:val="20"/>
          <w:szCs w:val="20"/>
        </w:rPr>
        <w:t>•</w:t>
      </w:r>
      <w:r w:rsidRPr="000B647C">
        <w:rPr>
          <w:sz w:val="20"/>
          <w:szCs w:val="20"/>
        </w:rPr>
        <w:tab/>
      </w:r>
      <w:r w:rsidRPr="008A5D9A">
        <w:rPr>
          <w:color w:val="A06FAD"/>
          <w:sz w:val="20"/>
          <w:szCs w:val="20"/>
        </w:rPr>
        <w:t xml:space="preserve">Event cancellations </w:t>
      </w:r>
    </w:p>
    <w:p w14:paraId="43994CB2" w14:textId="77777777" w:rsidR="00732F33" w:rsidRPr="00474C01" w:rsidRDefault="00732F33" w:rsidP="00732F33">
      <w:pPr>
        <w:pStyle w:val="BodyText"/>
        <w:rPr>
          <w:color w:val="F2750E"/>
          <w:sz w:val="20"/>
          <w:szCs w:val="20"/>
          <w:highlight w:val="yellow"/>
        </w:rPr>
      </w:pPr>
      <w:r w:rsidRPr="000B647C">
        <w:rPr>
          <w:sz w:val="20"/>
          <w:szCs w:val="20"/>
        </w:rPr>
        <w:t>•</w:t>
      </w:r>
      <w:r w:rsidRPr="000B647C">
        <w:rPr>
          <w:sz w:val="20"/>
          <w:szCs w:val="20"/>
        </w:rPr>
        <w:tab/>
      </w:r>
      <w:r w:rsidRPr="00FD3352">
        <w:rPr>
          <w:color w:val="C76921"/>
          <w:sz w:val="20"/>
          <w:szCs w:val="20"/>
        </w:rPr>
        <w:t>Other impacts</w:t>
      </w:r>
    </w:p>
    <w:p w14:paraId="64C9A85F" w14:textId="77777777" w:rsidR="00A70F9C" w:rsidRDefault="00A70F9C" w:rsidP="00A70F9C">
      <w:pPr>
        <w:pStyle w:val="BodyText"/>
        <w:ind w:left="720"/>
        <w:jc w:val="center"/>
        <w:rPr>
          <w:b/>
          <w:bCs/>
        </w:rPr>
        <w:sectPr w:rsidR="00A70F9C" w:rsidSect="00275780">
          <w:type w:val="continuous"/>
          <w:pgSz w:w="11906" w:h="16838" w:code="9"/>
          <w:pgMar w:top="1021" w:right="1021" w:bottom="1021" w:left="1021" w:header="567" w:footer="567" w:gutter="0"/>
          <w:cols w:num="3" w:space="708"/>
          <w:docGrid w:linePitch="360"/>
        </w:sectPr>
      </w:pPr>
    </w:p>
    <w:tbl>
      <w:tblPr>
        <w:tblStyle w:val="TableGrid"/>
        <w:tblW w:w="0" w:type="auto"/>
        <w:tblLook w:val="04A0" w:firstRow="1" w:lastRow="0" w:firstColumn="1" w:lastColumn="0" w:noHBand="0" w:noVBand="1"/>
      </w:tblPr>
      <w:tblGrid>
        <w:gridCol w:w="2552"/>
        <w:gridCol w:w="7302"/>
      </w:tblGrid>
      <w:tr w:rsidR="00A70F9C" w14:paraId="4C72D37C" w14:textId="77777777" w:rsidTr="00C41A1F">
        <w:tc>
          <w:tcPr>
            <w:tcW w:w="2552" w:type="dxa"/>
          </w:tcPr>
          <w:p w14:paraId="274D2ED6" w14:textId="77777777" w:rsidR="00A70F9C" w:rsidRPr="00B0677E" w:rsidRDefault="00A70F9C" w:rsidP="00C114FC">
            <w:pPr>
              <w:pStyle w:val="BodyText"/>
              <w:ind w:right="227"/>
              <w:jc w:val="right"/>
              <w:rPr>
                <w:b/>
                <w:szCs w:val="22"/>
              </w:rPr>
            </w:pPr>
            <w:r w:rsidRPr="00B0677E">
              <w:rPr>
                <w:b/>
                <w:szCs w:val="22"/>
              </w:rPr>
              <w:t>11 March 2020 –</w:t>
            </w:r>
          </w:p>
        </w:tc>
        <w:tc>
          <w:tcPr>
            <w:tcW w:w="7302" w:type="dxa"/>
          </w:tcPr>
          <w:p w14:paraId="570A97EA" w14:textId="77777777" w:rsidR="00A70F9C" w:rsidRPr="00B0677E" w:rsidRDefault="00A70F9C" w:rsidP="00C114FC">
            <w:pPr>
              <w:pStyle w:val="BodyText"/>
              <w:ind w:right="227"/>
              <w:rPr>
                <w:color w:val="FF0000"/>
                <w:szCs w:val="22"/>
              </w:rPr>
            </w:pPr>
            <w:r w:rsidRPr="00B0677E">
              <w:rPr>
                <w:szCs w:val="22"/>
              </w:rPr>
              <w:t xml:space="preserve">The World Health Organisation (WHO) </w:t>
            </w:r>
            <w:r w:rsidRPr="00B0677E">
              <w:rPr>
                <w:b/>
                <w:szCs w:val="22"/>
              </w:rPr>
              <w:t>declares COVID-19 a pandemic</w:t>
            </w:r>
            <w:r w:rsidRPr="00B0677E">
              <w:rPr>
                <w:szCs w:val="22"/>
              </w:rPr>
              <w:t>.</w:t>
            </w:r>
            <w:r w:rsidRPr="00B0677E">
              <w:rPr>
                <w:color w:val="FF0000"/>
                <w:szCs w:val="22"/>
              </w:rPr>
              <w:t xml:space="preserve"> </w:t>
            </w:r>
          </w:p>
        </w:tc>
      </w:tr>
      <w:tr w:rsidR="00A70F9C" w14:paraId="1518A5D2" w14:textId="77777777" w:rsidTr="00C41A1F">
        <w:tc>
          <w:tcPr>
            <w:tcW w:w="2552" w:type="dxa"/>
          </w:tcPr>
          <w:p w14:paraId="6C280FF7" w14:textId="77777777" w:rsidR="00A70F9C" w:rsidRPr="00B0677E" w:rsidRDefault="00A70F9C" w:rsidP="00C114FC">
            <w:pPr>
              <w:pStyle w:val="BodyText"/>
              <w:ind w:right="227"/>
              <w:jc w:val="right"/>
              <w:rPr>
                <w:b/>
                <w:szCs w:val="22"/>
              </w:rPr>
            </w:pPr>
            <w:r w:rsidRPr="00B0677E">
              <w:rPr>
                <w:b/>
                <w:szCs w:val="22"/>
              </w:rPr>
              <w:t xml:space="preserve">13 March 2020 – </w:t>
            </w:r>
          </w:p>
        </w:tc>
        <w:tc>
          <w:tcPr>
            <w:tcW w:w="7302" w:type="dxa"/>
          </w:tcPr>
          <w:p w14:paraId="57F9615A" w14:textId="77777777" w:rsidR="00A70F9C" w:rsidRPr="006E4AFC" w:rsidRDefault="00A70F9C" w:rsidP="00C114FC">
            <w:pPr>
              <w:pStyle w:val="BodyText"/>
              <w:ind w:right="227"/>
              <w:rPr>
                <w:szCs w:val="22"/>
              </w:rPr>
            </w:pPr>
            <w:r w:rsidRPr="00B0677E">
              <w:rPr>
                <w:szCs w:val="22"/>
              </w:rPr>
              <w:t xml:space="preserve">The </w:t>
            </w:r>
            <w:r>
              <w:rPr>
                <w:szCs w:val="22"/>
              </w:rPr>
              <w:t>Australian G</w:t>
            </w:r>
            <w:r w:rsidRPr="00B0677E">
              <w:rPr>
                <w:szCs w:val="22"/>
              </w:rPr>
              <w:t xml:space="preserve">overnment </w:t>
            </w:r>
            <w:r w:rsidRPr="00B0677E">
              <w:rPr>
                <w:b/>
                <w:szCs w:val="22"/>
              </w:rPr>
              <w:t>bans all ‘non-essential’ mass gatherings</w:t>
            </w:r>
            <w:r w:rsidRPr="00B0677E">
              <w:rPr>
                <w:szCs w:val="22"/>
              </w:rPr>
              <w:t xml:space="preserve">, with </w:t>
            </w:r>
            <w:r w:rsidRPr="00B0677E">
              <w:rPr>
                <w:b/>
                <w:szCs w:val="22"/>
              </w:rPr>
              <w:t>events of 500 people or more banned indefinitely</w:t>
            </w:r>
            <w:r w:rsidRPr="00B0677E">
              <w:rPr>
                <w:szCs w:val="22"/>
              </w:rPr>
              <w:t xml:space="preserve">. </w:t>
            </w:r>
          </w:p>
        </w:tc>
      </w:tr>
      <w:tr w:rsidR="00A70F9C" w14:paraId="1D9296D4" w14:textId="77777777" w:rsidTr="00C41A1F">
        <w:tc>
          <w:tcPr>
            <w:tcW w:w="2552" w:type="dxa"/>
          </w:tcPr>
          <w:p w14:paraId="6D9E20E2" w14:textId="77777777" w:rsidR="00A70F9C" w:rsidRPr="008A5D9A" w:rsidRDefault="00A70F9C" w:rsidP="00C114FC">
            <w:pPr>
              <w:pStyle w:val="BodyText"/>
              <w:ind w:right="227"/>
              <w:jc w:val="right"/>
              <w:rPr>
                <w:b/>
                <w:color w:val="A06FAD"/>
                <w:szCs w:val="22"/>
              </w:rPr>
            </w:pPr>
            <w:r w:rsidRPr="008A5D9A">
              <w:rPr>
                <w:b/>
                <w:color w:val="A06FAD"/>
                <w:szCs w:val="22"/>
              </w:rPr>
              <w:t>17 March 2020 –</w:t>
            </w:r>
          </w:p>
        </w:tc>
        <w:tc>
          <w:tcPr>
            <w:tcW w:w="7302" w:type="dxa"/>
          </w:tcPr>
          <w:p w14:paraId="666075C3" w14:textId="77777777" w:rsidR="00A70F9C" w:rsidRPr="008A5D9A" w:rsidRDefault="00A70F9C" w:rsidP="00C114FC">
            <w:pPr>
              <w:pStyle w:val="BodyText"/>
              <w:ind w:right="227"/>
              <w:rPr>
                <w:color w:val="A06FAD"/>
                <w:szCs w:val="22"/>
              </w:rPr>
            </w:pPr>
            <w:r w:rsidRPr="008A5D9A">
              <w:rPr>
                <w:b/>
                <w:color w:val="A06FAD"/>
                <w:szCs w:val="22"/>
              </w:rPr>
              <w:t>Organisations, artists, and festivals begin</w:t>
            </w:r>
            <w:r w:rsidRPr="008A5D9A">
              <w:rPr>
                <w:color w:val="A06FAD"/>
                <w:szCs w:val="22"/>
              </w:rPr>
              <w:t xml:space="preserve"> </w:t>
            </w:r>
            <w:r w:rsidRPr="008A5D9A">
              <w:rPr>
                <w:b/>
                <w:color w:val="A06FAD"/>
                <w:szCs w:val="22"/>
              </w:rPr>
              <w:t>announcing cancellations for 2020</w:t>
            </w:r>
            <w:r w:rsidRPr="008A5D9A">
              <w:rPr>
                <w:color w:val="A06FAD"/>
                <w:szCs w:val="22"/>
              </w:rPr>
              <w:t xml:space="preserve">, including Vivid, Groovin the Moo and Splendour in the Grass. </w:t>
            </w:r>
          </w:p>
        </w:tc>
      </w:tr>
      <w:tr w:rsidR="00A70F9C" w14:paraId="58593683" w14:textId="77777777" w:rsidTr="00C41A1F">
        <w:tc>
          <w:tcPr>
            <w:tcW w:w="2552" w:type="dxa"/>
          </w:tcPr>
          <w:p w14:paraId="1BB10674" w14:textId="77777777" w:rsidR="00A70F9C" w:rsidRPr="00B0677E" w:rsidRDefault="00A70F9C" w:rsidP="00C114FC">
            <w:pPr>
              <w:pStyle w:val="BodyText"/>
              <w:ind w:right="227"/>
              <w:jc w:val="right"/>
              <w:rPr>
                <w:b/>
                <w:szCs w:val="22"/>
              </w:rPr>
            </w:pPr>
            <w:r w:rsidRPr="00B0677E">
              <w:rPr>
                <w:b/>
                <w:szCs w:val="22"/>
              </w:rPr>
              <w:t>18 March 2020 –</w:t>
            </w:r>
          </w:p>
        </w:tc>
        <w:tc>
          <w:tcPr>
            <w:tcW w:w="7302" w:type="dxa"/>
          </w:tcPr>
          <w:p w14:paraId="715155E5" w14:textId="77777777" w:rsidR="00A70F9C" w:rsidRPr="00B0677E" w:rsidRDefault="00A70F9C" w:rsidP="00C114FC">
            <w:pPr>
              <w:pStyle w:val="BodyText"/>
              <w:ind w:right="227"/>
              <w:rPr>
                <w:szCs w:val="22"/>
              </w:rPr>
            </w:pPr>
            <w:r w:rsidRPr="00B0677E">
              <w:rPr>
                <w:szCs w:val="22"/>
              </w:rPr>
              <w:t xml:space="preserve">The government </w:t>
            </w:r>
            <w:r w:rsidRPr="00B0677E">
              <w:rPr>
                <w:b/>
                <w:szCs w:val="22"/>
              </w:rPr>
              <w:t>bans indoor public gatherings of more than 100</w:t>
            </w:r>
            <w:r w:rsidRPr="00B0677E">
              <w:rPr>
                <w:szCs w:val="22"/>
              </w:rPr>
              <w:t xml:space="preserve"> people.</w:t>
            </w:r>
          </w:p>
        </w:tc>
      </w:tr>
      <w:tr w:rsidR="00A70F9C" w14:paraId="167B2EA9" w14:textId="77777777" w:rsidTr="00C41A1F">
        <w:tc>
          <w:tcPr>
            <w:tcW w:w="2552" w:type="dxa"/>
          </w:tcPr>
          <w:p w14:paraId="718D3766" w14:textId="77777777" w:rsidR="00A70F9C" w:rsidRPr="00B0677E" w:rsidRDefault="00A70F9C" w:rsidP="00C114FC">
            <w:pPr>
              <w:pStyle w:val="BodyText"/>
              <w:ind w:right="227"/>
              <w:jc w:val="right"/>
              <w:rPr>
                <w:b/>
                <w:szCs w:val="22"/>
              </w:rPr>
            </w:pPr>
            <w:r w:rsidRPr="00B0677E">
              <w:rPr>
                <w:b/>
                <w:szCs w:val="22"/>
              </w:rPr>
              <w:t>23 March 2020 –</w:t>
            </w:r>
          </w:p>
        </w:tc>
        <w:tc>
          <w:tcPr>
            <w:tcW w:w="7302" w:type="dxa"/>
          </w:tcPr>
          <w:p w14:paraId="51932EE7" w14:textId="77777777" w:rsidR="00A70F9C" w:rsidRPr="00B0677E" w:rsidRDefault="00A70F9C" w:rsidP="00C114FC">
            <w:pPr>
              <w:pStyle w:val="BodyText"/>
              <w:ind w:right="227"/>
              <w:rPr>
                <w:szCs w:val="22"/>
              </w:rPr>
            </w:pPr>
            <w:r w:rsidRPr="00B0677E">
              <w:rPr>
                <w:b/>
                <w:szCs w:val="22"/>
              </w:rPr>
              <w:t>The government implements a nationwide lockdown</w:t>
            </w:r>
            <w:r w:rsidRPr="00A82A79">
              <w:rPr>
                <w:bCs/>
                <w:szCs w:val="22"/>
              </w:rPr>
              <w:t xml:space="preserve"> –</w:t>
            </w:r>
            <w:r w:rsidRPr="00B0677E">
              <w:rPr>
                <w:szCs w:val="22"/>
              </w:rPr>
              <w:t xml:space="preserve"> national borders are closed to all non-residents, distancing rules are introduced, and all non-essential services are closed. States and territories close their borders.</w:t>
            </w:r>
          </w:p>
        </w:tc>
      </w:tr>
      <w:tr w:rsidR="00A70F9C" w14:paraId="78CE72D2" w14:textId="77777777" w:rsidTr="00C41A1F">
        <w:trPr>
          <w:trHeight w:val="856"/>
        </w:trPr>
        <w:tc>
          <w:tcPr>
            <w:tcW w:w="2552" w:type="dxa"/>
          </w:tcPr>
          <w:p w14:paraId="0EB9BB9A" w14:textId="77777777" w:rsidR="00A70F9C" w:rsidRPr="00FD3352" w:rsidRDefault="00A70F9C" w:rsidP="00C114FC">
            <w:pPr>
              <w:pStyle w:val="BodyText"/>
              <w:ind w:right="227"/>
              <w:jc w:val="right"/>
              <w:rPr>
                <w:b/>
                <w:color w:val="C76921"/>
                <w:szCs w:val="22"/>
              </w:rPr>
            </w:pPr>
            <w:r w:rsidRPr="00FD3352">
              <w:rPr>
                <w:b/>
                <w:color w:val="C76921"/>
                <w:szCs w:val="22"/>
              </w:rPr>
              <w:t>27 March 2020 –</w:t>
            </w:r>
          </w:p>
        </w:tc>
        <w:tc>
          <w:tcPr>
            <w:tcW w:w="7302" w:type="dxa"/>
          </w:tcPr>
          <w:p w14:paraId="065EAAE3" w14:textId="15846C82" w:rsidR="00A70F9C" w:rsidRPr="00FD3352" w:rsidRDefault="00A70F9C" w:rsidP="00C114FC">
            <w:pPr>
              <w:pStyle w:val="BodyText"/>
              <w:ind w:right="227"/>
              <w:rPr>
                <w:color w:val="C76921"/>
                <w:szCs w:val="22"/>
              </w:rPr>
            </w:pPr>
            <w:r w:rsidRPr="00FD3352">
              <w:rPr>
                <w:b/>
                <w:color w:val="C76921"/>
                <w:szCs w:val="22"/>
              </w:rPr>
              <w:t xml:space="preserve">Arts and cultural organisations go digital </w:t>
            </w:r>
            <w:r w:rsidRPr="00FD3352">
              <w:rPr>
                <w:color w:val="C76921"/>
                <w:szCs w:val="22"/>
              </w:rPr>
              <w:t>with the launch of online events and initiatives, including the Melbourne Digital Concert Hall and the Sydney Dance Theatre’s virtual studio.</w:t>
            </w:r>
            <w:r w:rsidR="0043398B">
              <w:rPr>
                <w:rFonts w:ascii="ZWAdobeF" w:hAnsi="ZWAdobeF" w:cs="ZWAdobeF"/>
                <w:sz w:val="2"/>
                <w:szCs w:val="2"/>
              </w:rPr>
              <w:t>3F</w:t>
            </w:r>
            <w:r w:rsidRPr="00FD3352">
              <w:rPr>
                <w:rStyle w:val="FootnoteReference"/>
                <w:color w:val="C76921"/>
                <w:szCs w:val="22"/>
              </w:rPr>
              <w:footnoteReference w:id="5"/>
            </w:r>
          </w:p>
        </w:tc>
      </w:tr>
      <w:tr w:rsidR="00A70F9C" w14:paraId="15CE01EB" w14:textId="77777777" w:rsidTr="00C41A1F">
        <w:tc>
          <w:tcPr>
            <w:tcW w:w="2552" w:type="dxa"/>
          </w:tcPr>
          <w:p w14:paraId="2317D083" w14:textId="77777777" w:rsidR="00A70F9C" w:rsidRPr="00D87FF3" w:rsidRDefault="00A70F9C" w:rsidP="00C114FC">
            <w:pPr>
              <w:pStyle w:val="BodyText"/>
              <w:ind w:right="227"/>
              <w:jc w:val="right"/>
              <w:rPr>
                <w:b/>
                <w:color w:val="537FBB"/>
                <w:szCs w:val="22"/>
              </w:rPr>
            </w:pPr>
            <w:r w:rsidRPr="00D87FF3">
              <w:rPr>
                <w:b/>
                <w:color w:val="537FBB"/>
                <w:szCs w:val="22"/>
              </w:rPr>
              <w:t>30 March 2020 –</w:t>
            </w:r>
          </w:p>
        </w:tc>
        <w:tc>
          <w:tcPr>
            <w:tcW w:w="7302" w:type="dxa"/>
          </w:tcPr>
          <w:p w14:paraId="63A6EC8E" w14:textId="77777777" w:rsidR="00A70F9C" w:rsidRPr="00D87FF3" w:rsidRDefault="00A70F9C" w:rsidP="00C114FC">
            <w:pPr>
              <w:pStyle w:val="BodyText"/>
              <w:ind w:right="227"/>
              <w:rPr>
                <w:b/>
                <w:color w:val="537FBB"/>
                <w:szCs w:val="22"/>
              </w:rPr>
            </w:pPr>
            <w:r w:rsidRPr="00D87FF3">
              <w:rPr>
                <w:color w:val="537FBB"/>
                <w:szCs w:val="22"/>
              </w:rPr>
              <w:t>The Australian Government announces the</w:t>
            </w:r>
            <w:r w:rsidRPr="00D87FF3">
              <w:rPr>
                <w:b/>
                <w:color w:val="537FBB"/>
                <w:szCs w:val="22"/>
              </w:rPr>
              <w:t xml:space="preserve"> JobKeeper payment.</w:t>
            </w:r>
          </w:p>
        </w:tc>
      </w:tr>
      <w:tr w:rsidR="00A70F9C" w14:paraId="7B334979" w14:textId="77777777" w:rsidTr="00C41A1F">
        <w:tc>
          <w:tcPr>
            <w:tcW w:w="2552" w:type="dxa"/>
          </w:tcPr>
          <w:p w14:paraId="1B2C514A" w14:textId="77777777" w:rsidR="00A70F9C" w:rsidRPr="00D87FF3" w:rsidRDefault="00A70F9C" w:rsidP="00C114FC">
            <w:pPr>
              <w:pStyle w:val="BodyText"/>
              <w:ind w:right="227"/>
              <w:jc w:val="right"/>
              <w:rPr>
                <w:b/>
                <w:color w:val="537FBB"/>
                <w:szCs w:val="22"/>
              </w:rPr>
            </w:pPr>
            <w:r w:rsidRPr="00D87FF3">
              <w:rPr>
                <w:b/>
                <w:color w:val="537FBB"/>
                <w:szCs w:val="22"/>
              </w:rPr>
              <w:t xml:space="preserve">31 March 2020 – </w:t>
            </w:r>
          </w:p>
        </w:tc>
        <w:tc>
          <w:tcPr>
            <w:tcW w:w="7302" w:type="dxa"/>
          </w:tcPr>
          <w:p w14:paraId="0E375136" w14:textId="77777777" w:rsidR="00A70F9C" w:rsidRPr="00D87FF3" w:rsidRDefault="00A70F9C" w:rsidP="00C114FC">
            <w:pPr>
              <w:pStyle w:val="BodyText"/>
              <w:ind w:right="227"/>
              <w:rPr>
                <w:color w:val="537FBB"/>
                <w:szCs w:val="22"/>
              </w:rPr>
            </w:pPr>
            <w:r w:rsidRPr="00D87FF3">
              <w:rPr>
                <w:b/>
                <w:color w:val="537FBB"/>
                <w:szCs w:val="22"/>
              </w:rPr>
              <w:t xml:space="preserve">The Council launches </w:t>
            </w:r>
            <w:r w:rsidRPr="00D87FF3">
              <w:rPr>
                <w:color w:val="537FBB"/>
                <w:szCs w:val="22"/>
              </w:rPr>
              <w:t>its first response package:</w:t>
            </w:r>
            <w:r w:rsidRPr="00D87FF3">
              <w:rPr>
                <w:b/>
                <w:color w:val="537FBB"/>
                <w:szCs w:val="22"/>
              </w:rPr>
              <w:t xml:space="preserve"> </w:t>
            </w:r>
            <w:r w:rsidRPr="00D87FF3">
              <w:rPr>
                <w:color w:val="537FBB"/>
                <w:szCs w:val="22"/>
              </w:rPr>
              <w:t xml:space="preserve">the </w:t>
            </w:r>
            <w:r w:rsidRPr="00D87FF3">
              <w:rPr>
                <w:b/>
                <w:color w:val="537FBB"/>
                <w:szCs w:val="22"/>
              </w:rPr>
              <w:t>Resilience Fund.</w:t>
            </w:r>
          </w:p>
        </w:tc>
      </w:tr>
      <w:tr w:rsidR="00A70F9C" w14:paraId="1AF682EE" w14:textId="77777777" w:rsidTr="00C41A1F">
        <w:tc>
          <w:tcPr>
            <w:tcW w:w="2552" w:type="dxa"/>
          </w:tcPr>
          <w:p w14:paraId="7996A462" w14:textId="77777777" w:rsidR="00A70F9C" w:rsidRPr="008C24F7" w:rsidRDefault="00A70F9C" w:rsidP="00C114FC">
            <w:pPr>
              <w:pStyle w:val="BodyText"/>
              <w:ind w:right="227"/>
              <w:jc w:val="right"/>
              <w:rPr>
                <w:b/>
                <w:color w:val="C76B97"/>
                <w:szCs w:val="22"/>
              </w:rPr>
            </w:pPr>
            <w:r w:rsidRPr="008C24F7">
              <w:rPr>
                <w:b/>
                <w:color w:val="C76B97"/>
                <w:szCs w:val="22"/>
              </w:rPr>
              <w:t>March 2020 –</w:t>
            </w:r>
          </w:p>
        </w:tc>
        <w:tc>
          <w:tcPr>
            <w:tcW w:w="7302" w:type="dxa"/>
          </w:tcPr>
          <w:p w14:paraId="232D4681" w14:textId="1443720C" w:rsidR="00A70F9C" w:rsidRPr="008C24F7" w:rsidRDefault="00A70F9C" w:rsidP="00C114FC">
            <w:pPr>
              <w:pStyle w:val="BodyText"/>
              <w:ind w:right="227"/>
              <w:rPr>
                <w:color w:val="C76B97"/>
                <w:szCs w:val="22"/>
              </w:rPr>
            </w:pPr>
            <w:r w:rsidRPr="008C24F7">
              <w:rPr>
                <w:color w:val="C76B97"/>
                <w:szCs w:val="22"/>
              </w:rPr>
              <w:t xml:space="preserve">ABS data shows </w:t>
            </w:r>
            <w:r w:rsidRPr="008C24F7">
              <w:rPr>
                <w:b/>
                <w:color w:val="C76B97"/>
                <w:szCs w:val="22"/>
              </w:rPr>
              <w:t>over half of arts and recreation business</w:t>
            </w:r>
            <w:r w:rsidRPr="008C24F7">
              <w:rPr>
                <w:color w:val="C76B97"/>
                <w:szCs w:val="22"/>
              </w:rPr>
              <w:t xml:space="preserve"> </w:t>
            </w:r>
            <w:r w:rsidRPr="008C24F7">
              <w:rPr>
                <w:b/>
                <w:color w:val="C76B97"/>
                <w:szCs w:val="22"/>
              </w:rPr>
              <w:t>had stopped operating</w:t>
            </w:r>
            <w:r w:rsidRPr="008C24F7">
              <w:rPr>
                <w:color w:val="C76B97"/>
                <w:szCs w:val="22"/>
              </w:rPr>
              <w:t xml:space="preserve"> in the month prior (53%).</w:t>
            </w:r>
            <w:r w:rsidR="0043398B">
              <w:rPr>
                <w:rFonts w:ascii="ZWAdobeF" w:hAnsi="ZWAdobeF" w:cs="ZWAdobeF"/>
                <w:sz w:val="2"/>
                <w:szCs w:val="2"/>
              </w:rPr>
              <w:t>4F</w:t>
            </w:r>
            <w:r w:rsidRPr="008C24F7">
              <w:rPr>
                <w:rStyle w:val="FootnoteReference"/>
                <w:color w:val="C76B97"/>
                <w:szCs w:val="22"/>
              </w:rPr>
              <w:footnoteReference w:id="6"/>
            </w:r>
          </w:p>
        </w:tc>
      </w:tr>
      <w:tr w:rsidR="00A70F9C" w14:paraId="313B2571" w14:textId="77777777" w:rsidTr="00C41A1F">
        <w:tc>
          <w:tcPr>
            <w:tcW w:w="2552" w:type="dxa"/>
          </w:tcPr>
          <w:p w14:paraId="7E09A38C" w14:textId="77777777" w:rsidR="00A70F9C" w:rsidRPr="008C24F7" w:rsidRDefault="00A70F9C" w:rsidP="00C114FC">
            <w:pPr>
              <w:pStyle w:val="BodyText"/>
              <w:ind w:right="227"/>
              <w:jc w:val="right"/>
              <w:rPr>
                <w:b/>
                <w:color w:val="C76B97"/>
                <w:szCs w:val="22"/>
              </w:rPr>
            </w:pPr>
            <w:r w:rsidRPr="008C24F7">
              <w:rPr>
                <w:b/>
                <w:color w:val="C76B97"/>
                <w:szCs w:val="22"/>
              </w:rPr>
              <w:t>1 April 2020 –</w:t>
            </w:r>
          </w:p>
        </w:tc>
        <w:tc>
          <w:tcPr>
            <w:tcW w:w="7302" w:type="dxa"/>
          </w:tcPr>
          <w:p w14:paraId="52D42FD0" w14:textId="7A7B0063" w:rsidR="00A70F9C" w:rsidRPr="008C24F7" w:rsidRDefault="00A70F9C" w:rsidP="00C114FC">
            <w:pPr>
              <w:pStyle w:val="BodyText"/>
              <w:ind w:right="227"/>
              <w:rPr>
                <w:color w:val="C76B97"/>
                <w:szCs w:val="22"/>
              </w:rPr>
            </w:pPr>
            <w:r w:rsidRPr="008C24F7">
              <w:rPr>
                <w:b/>
                <w:color w:val="C76B97"/>
                <w:szCs w:val="22"/>
              </w:rPr>
              <w:t>Results from sector surveys</w:t>
            </w:r>
            <w:r w:rsidRPr="008C24F7">
              <w:rPr>
                <w:color w:val="C76B97"/>
                <w:szCs w:val="22"/>
              </w:rPr>
              <w:t xml:space="preserve"> launched in mid-March begin evidencing </w:t>
            </w:r>
            <w:r w:rsidRPr="008C24F7">
              <w:rPr>
                <w:b/>
                <w:color w:val="C76B97"/>
                <w:szCs w:val="22"/>
              </w:rPr>
              <w:t>large scale income loss</w:t>
            </w:r>
            <w:r w:rsidRPr="008C24F7">
              <w:rPr>
                <w:color w:val="C76B97"/>
                <w:szCs w:val="22"/>
              </w:rPr>
              <w:t xml:space="preserve"> for artists, organisations and venues.</w:t>
            </w:r>
            <w:r w:rsidR="0043398B">
              <w:rPr>
                <w:rFonts w:ascii="ZWAdobeF" w:hAnsi="ZWAdobeF" w:cs="ZWAdobeF"/>
                <w:sz w:val="2"/>
                <w:szCs w:val="2"/>
              </w:rPr>
              <w:t>5F</w:t>
            </w:r>
            <w:r w:rsidRPr="008C24F7">
              <w:rPr>
                <w:rStyle w:val="FootnoteReference"/>
                <w:color w:val="C76B97"/>
                <w:szCs w:val="22"/>
              </w:rPr>
              <w:footnoteReference w:id="7"/>
            </w:r>
          </w:p>
        </w:tc>
      </w:tr>
      <w:tr w:rsidR="00A70F9C" w14:paraId="2628B0E5" w14:textId="77777777" w:rsidTr="00C41A1F">
        <w:tc>
          <w:tcPr>
            <w:tcW w:w="2552" w:type="dxa"/>
          </w:tcPr>
          <w:p w14:paraId="45182296" w14:textId="77777777" w:rsidR="00A70F9C" w:rsidRPr="008C24F7" w:rsidRDefault="00A70F9C" w:rsidP="00C114FC">
            <w:pPr>
              <w:pStyle w:val="BodyText"/>
              <w:ind w:right="227"/>
              <w:jc w:val="right"/>
              <w:rPr>
                <w:b/>
                <w:color w:val="C76B97"/>
                <w:szCs w:val="22"/>
              </w:rPr>
            </w:pPr>
            <w:r w:rsidRPr="008C24F7">
              <w:rPr>
                <w:b/>
                <w:color w:val="C76B97"/>
                <w:szCs w:val="22"/>
              </w:rPr>
              <w:lastRenderedPageBreak/>
              <w:t>30 April 2020 –</w:t>
            </w:r>
          </w:p>
        </w:tc>
        <w:tc>
          <w:tcPr>
            <w:tcW w:w="7302" w:type="dxa"/>
          </w:tcPr>
          <w:p w14:paraId="49F3B9B8" w14:textId="5BCAC17C" w:rsidR="00A70F9C" w:rsidRPr="008C24F7" w:rsidRDefault="00A70F9C" w:rsidP="00C114FC">
            <w:pPr>
              <w:pStyle w:val="BodyText"/>
              <w:ind w:right="227"/>
              <w:rPr>
                <w:b/>
                <w:color w:val="C76B97"/>
                <w:szCs w:val="22"/>
              </w:rPr>
            </w:pPr>
            <w:r w:rsidRPr="008C24F7">
              <w:rPr>
                <w:color w:val="C76B97"/>
                <w:szCs w:val="22"/>
              </w:rPr>
              <w:t xml:space="preserve">ABS data shows </w:t>
            </w:r>
            <w:r w:rsidRPr="008C24F7">
              <w:rPr>
                <w:b/>
                <w:color w:val="C76B97"/>
                <w:szCs w:val="22"/>
              </w:rPr>
              <w:t xml:space="preserve">arts and recreation services are the most severely affected </w:t>
            </w:r>
            <w:r w:rsidRPr="008C24F7">
              <w:rPr>
                <w:color w:val="C76B97"/>
                <w:szCs w:val="22"/>
              </w:rPr>
              <w:t>industry division (94% compared to 53% of other industries).</w:t>
            </w:r>
            <w:r w:rsidR="0043398B">
              <w:rPr>
                <w:rFonts w:ascii="ZWAdobeF" w:hAnsi="ZWAdobeF" w:cs="ZWAdobeF"/>
                <w:sz w:val="2"/>
                <w:szCs w:val="2"/>
              </w:rPr>
              <w:t>6F</w:t>
            </w:r>
            <w:r w:rsidRPr="008C24F7">
              <w:rPr>
                <w:rStyle w:val="FootnoteReference"/>
                <w:color w:val="C76B97"/>
                <w:szCs w:val="22"/>
              </w:rPr>
              <w:footnoteReference w:id="8"/>
            </w:r>
          </w:p>
        </w:tc>
      </w:tr>
      <w:tr w:rsidR="00A70F9C" w14:paraId="6809B52E" w14:textId="77777777" w:rsidTr="00C41A1F">
        <w:tc>
          <w:tcPr>
            <w:tcW w:w="2552" w:type="dxa"/>
          </w:tcPr>
          <w:p w14:paraId="02170DFF" w14:textId="77777777" w:rsidR="00A70F9C" w:rsidRPr="00837805" w:rsidRDefault="00A70F9C" w:rsidP="00C114FC">
            <w:pPr>
              <w:pStyle w:val="BodyText"/>
              <w:ind w:right="227"/>
              <w:jc w:val="right"/>
              <w:rPr>
                <w:b/>
                <w:color w:val="57AE93"/>
                <w:szCs w:val="22"/>
              </w:rPr>
            </w:pPr>
            <w:r w:rsidRPr="00837805">
              <w:rPr>
                <w:b/>
                <w:color w:val="57AE93"/>
                <w:szCs w:val="22"/>
              </w:rPr>
              <w:t>May 2020 –</w:t>
            </w:r>
          </w:p>
        </w:tc>
        <w:tc>
          <w:tcPr>
            <w:tcW w:w="7302" w:type="dxa"/>
          </w:tcPr>
          <w:p w14:paraId="4980AA15" w14:textId="0C6DA511" w:rsidR="00A70F9C" w:rsidRPr="00837805" w:rsidRDefault="00A70F9C" w:rsidP="00C114FC">
            <w:pPr>
              <w:pStyle w:val="BodyText"/>
              <w:ind w:right="227"/>
              <w:rPr>
                <w:color w:val="57AE93"/>
                <w:szCs w:val="22"/>
              </w:rPr>
            </w:pPr>
            <w:r w:rsidRPr="00837805">
              <w:rPr>
                <w:b/>
                <w:color w:val="57AE93"/>
                <w:szCs w:val="22"/>
              </w:rPr>
              <w:t xml:space="preserve">AOM Phase 1 Snapshot Report </w:t>
            </w:r>
            <w:r w:rsidRPr="00837805">
              <w:rPr>
                <w:color w:val="57AE93"/>
                <w:szCs w:val="22"/>
              </w:rPr>
              <w:t>shows that while audiences are overwhelmingly planning to return to arts and culture in the future, two thirds (67%) will only attend when risk of transmission is low.</w:t>
            </w:r>
            <w:r w:rsidR="0043398B">
              <w:rPr>
                <w:rFonts w:ascii="ZWAdobeF" w:hAnsi="ZWAdobeF" w:cs="ZWAdobeF"/>
                <w:sz w:val="2"/>
                <w:szCs w:val="2"/>
              </w:rPr>
              <w:t>7F</w:t>
            </w:r>
            <w:r w:rsidRPr="00837805">
              <w:rPr>
                <w:rStyle w:val="FootnoteReference"/>
                <w:color w:val="57AE93"/>
                <w:szCs w:val="22"/>
              </w:rPr>
              <w:footnoteReference w:id="9"/>
            </w:r>
          </w:p>
        </w:tc>
      </w:tr>
      <w:tr w:rsidR="00A70F9C" w14:paraId="34F95E20" w14:textId="77777777" w:rsidTr="00C41A1F">
        <w:tc>
          <w:tcPr>
            <w:tcW w:w="2552" w:type="dxa"/>
          </w:tcPr>
          <w:p w14:paraId="5778967A" w14:textId="77777777" w:rsidR="00A70F9C" w:rsidRPr="00B0677E" w:rsidRDefault="00A70F9C" w:rsidP="00C114FC">
            <w:pPr>
              <w:pStyle w:val="BodyText"/>
              <w:ind w:right="227"/>
              <w:jc w:val="right"/>
              <w:rPr>
                <w:b/>
                <w:szCs w:val="22"/>
              </w:rPr>
            </w:pPr>
            <w:r w:rsidRPr="00B0677E">
              <w:rPr>
                <w:b/>
                <w:szCs w:val="22"/>
              </w:rPr>
              <w:t>1 June 2020 –</w:t>
            </w:r>
          </w:p>
        </w:tc>
        <w:tc>
          <w:tcPr>
            <w:tcW w:w="7302" w:type="dxa"/>
          </w:tcPr>
          <w:p w14:paraId="4831AE52" w14:textId="77777777" w:rsidR="00A70F9C" w:rsidRPr="00B0677E" w:rsidRDefault="00A70F9C" w:rsidP="00C114FC">
            <w:pPr>
              <w:pStyle w:val="BodyText"/>
              <w:ind w:right="227"/>
              <w:rPr>
                <w:szCs w:val="22"/>
              </w:rPr>
            </w:pPr>
            <w:r w:rsidRPr="00B0677E">
              <w:rPr>
                <w:b/>
                <w:szCs w:val="22"/>
              </w:rPr>
              <w:t>Restrictions begin to be lifted</w:t>
            </w:r>
            <w:r w:rsidRPr="00B0677E">
              <w:rPr>
                <w:szCs w:val="22"/>
              </w:rPr>
              <w:t xml:space="preserve"> across </w:t>
            </w:r>
            <w:r>
              <w:rPr>
                <w:szCs w:val="22"/>
              </w:rPr>
              <w:t>the country</w:t>
            </w:r>
            <w:r w:rsidRPr="00B0677E">
              <w:rPr>
                <w:szCs w:val="22"/>
              </w:rPr>
              <w:t xml:space="preserve">. </w:t>
            </w:r>
          </w:p>
        </w:tc>
      </w:tr>
      <w:tr w:rsidR="00A70F9C" w14:paraId="5EA78FE9" w14:textId="77777777" w:rsidTr="00C41A1F">
        <w:tc>
          <w:tcPr>
            <w:tcW w:w="2552" w:type="dxa"/>
          </w:tcPr>
          <w:p w14:paraId="5D9CBF66" w14:textId="77777777" w:rsidR="00A70F9C" w:rsidRPr="008C24F7" w:rsidRDefault="00A70F9C" w:rsidP="00C114FC">
            <w:pPr>
              <w:pStyle w:val="BodyText"/>
              <w:ind w:right="227"/>
              <w:jc w:val="right"/>
              <w:rPr>
                <w:b/>
                <w:color w:val="C76B97"/>
                <w:szCs w:val="22"/>
              </w:rPr>
            </w:pPr>
            <w:r w:rsidRPr="008C24F7">
              <w:rPr>
                <w:b/>
                <w:color w:val="C76B97"/>
                <w:szCs w:val="22"/>
              </w:rPr>
              <w:t>30 June 2020 –</w:t>
            </w:r>
          </w:p>
        </w:tc>
        <w:tc>
          <w:tcPr>
            <w:tcW w:w="7302" w:type="dxa"/>
          </w:tcPr>
          <w:p w14:paraId="61679AB9" w14:textId="656229AE" w:rsidR="00A70F9C" w:rsidRPr="008C24F7" w:rsidRDefault="00A70F9C" w:rsidP="00C114FC">
            <w:pPr>
              <w:pStyle w:val="BodyText"/>
              <w:ind w:right="227"/>
              <w:rPr>
                <w:b/>
                <w:color w:val="C76B97"/>
                <w:szCs w:val="22"/>
              </w:rPr>
            </w:pPr>
            <w:r w:rsidRPr="008C24F7">
              <w:rPr>
                <w:color w:val="C76B97"/>
                <w:szCs w:val="22"/>
              </w:rPr>
              <w:t xml:space="preserve">Desart data shows between March and June 2020, art centres saw a </w:t>
            </w:r>
            <w:r w:rsidRPr="008C24F7">
              <w:rPr>
                <w:b/>
                <w:color w:val="C76B97"/>
                <w:szCs w:val="22"/>
              </w:rPr>
              <w:t>30% decrease in average art centre</w:t>
            </w:r>
            <w:r w:rsidRPr="008C24F7">
              <w:rPr>
                <w:color w:val="C76B97"/>
                <w:szCs w:val="22"/>
              </w:rPr>
              <w:t xml:space="preserve"> </w:t>
            </w:r>
            <w:r w:rsidRPr="008C24F7">
              <w:rPr>
                <w:b/>
                <w:color w:val="C76B97"/>
                <w:szCs w:val="22"/>
              </w:rPr>
              <w:t>sales</w:t>
            </w:r>
            <w:r w:rsidRPr="008C24F7">
              <w:rPr>
                <w:color w:val="C76B97"/>
                <w:szCs w:val="22"/>
              </w:rPr>
              <w:t>.</w:t>
            </w:r>
            <w:r w:rsidR="0043398B">
              <w:rPr>
                <w:rFonts w:ascii="ZWAdobeF" w:hAnsi="ZWAdobeF" w:cs="ZWAdobeF"/>
                <w:sz w:val="2"/>
                <w:szCs w:val="2"/>
              </w:rPr>
              <w:t>8F</w:t>
            </w:r>
            <w:r w:rsidRPr="008C24F7">
              <w:rPr>
                <w:rStyle w:val="FootnoteReference"/>
                <w:color w:val="C76B97"/>
                <w:szCs w:val="22"/>
              </w:rPr>
              <w:footnoteReference w:id="10"/>
            </w:r>
          </w:p>
        </w:tc>
      </w:tr>
      <w:tr w:rsidR="00A70F9C" w14:paraId="2681A23D" w14:textId="77777777" w:rsidTr="00C41A1F">
        <w:tc>
          <w:tcPr>
            <w:tcW w:w="2552" w:type="dxa"/>
          </w:tcPr>
          <w:p w14:paraId="5D48BC47" w14:textId="77777777" w:rsidR="00A70F9C" w:rsidRPr="00837805" w:rsidRDefault="00A70F9C" w:rsidP="00C114FC">
            <w:pPr>
              <w:pStyle w:val="BodyText"/>
              <w:ind w:right="227"/>
              <w:jc w:val="right"/>
              <w:rPr>
                <w:b/>
                <w:color w:val="57AE93"/>
                <w:szCs w:val="22"/>
              </w:rPr>
            </w:pPr>
            <w:r w:rsidRPr="00837805">
              <w:rPr>
                <w:b/>
                <w:color w:val="57AE93"/>
                <w:szCs w:val="22"/>
              </w:rPr>
              <w:t>June 2020 –</w:t>
            </w:r>
          </w:p>
        </w:tc>
        <w:tc>
          <w:tcPr>
            <w:tcW w:w="7302" w:type="dxa"/>
          </w:tcPr>
          <w:p w14:paraId="4A6BD971" w14:textId="01E5F45F" w:rsidR="00A70F9C" w:rsidRPr="00837805" w:rsidRDefault="00A70F9C" w:rsidP="00C114FC">
            <w:pPr>
              <w:pStyle w:val="BodyText"/>
              <w:ind w:right="227"/>
              <w:rPr>
                <w:color w:val="57AE93"/>
                <w:szCs w:val="22"/>
              </w:rPr>
            </w:pPr>
            <w:r w:rsidRPr="00837805">
              <w:rPr>
                <w:color w:val="57AE93"/>
                <w:szCs w:val="22"/>
              </w:rPr>
              <w:t xml:space="preserve">Surveys show </w:t>
            </w:r>
            <w:r w:rsidRPr="00837805">
              <w:rPr>
                <w:b/>
                <w:color w:val="57AE93"/>
                <w:szCs w:val="22"/>
              </w:rPr>
              <w:t>participation in the arts was particularly vital for Australians during the lockdown</w:t>
            </w:r>
            <w:r w:rsidRPr="00837805">
              <w:rPr>
                <w:color w:val="57AE93"/>
                <w:szCs w:val="22"/>
              </w:rPr>
              <w:t>, including to improve mood and quality of life.</w:t>
            </w:r>
            <w:r w:rsidR="0043398B">
              <w:rPr>
                <w:rFonts w:ascii="ZWAdobeF" w:hAnsi="ZWAdobeF" w:cs="ZWAdobeF"/>
                <w:sz w:val="2"/>
                <w:szCs w:val="2"/>
              </w:rPr>
              <w:t>9F</w:t>
            </w:r>
            <w:r w:rsidRPr="00837805">
              <w:rPr>
                <w:rStyle w:val="FootnoteReference"/>
                <w:color w:val="57AE93"/>
                <w:szCs w:val="22"/>
              </w:rPr>
              <w:footnoteReference w:id="11"/>
            </w:r>
          </w:p>
        </w:tc>
      </w:tr>
      <w:tr w:rsidR="00A70F9C" w14:paraId="6C459CD0" w14:textId="77777777" w:rsidTr="00C41A1F">
        <w:tc>
          <w:tcPr>
            <w:tcW w:w="2552" w:type="dxa"/>
          </w:tcPr>
          <w:p w14:paraId="5639BDFF" w14:textId="77777777" w:rsidR="00A70F9C" w:rsidRPr="00837805" w:rsidRDefault="00A70F9C" w:rsidP="00C114FC">
            <w:pPr>
              <w:pStyle w:val="BodyText"/>
              <w:ind w:right="227"/>
              <w:jc w:val="right"/>
              <w:rPr>
                <w:b/>
                <w:color w:val="57AE93"/>
                <w:szCs w:val="22"/>
              </w:rPr>
            </w:pPr>
            <w:r w:rsidRPr="00837805">
              <w:rPr>
                <w:b/>
                <w:color w:val="57AE93"/>
                <w:szCs w:val="22"/>
              </w:rPr>
              <w:t>July 2020 –</w:t>
            </w:r>
          </w:p>
        </w:tc>
        <w:tc>
          <w:tcPr>
            <w:tcW w:w="7302" w:type="dxa"/>
          </w:tcPr>
          <w:p w14:paraId="003AD68D" w14:textId="6DDC9329" w:rsidR="00A70F9C" w:rsidRPr="00837805" w:rsidRDefault="00A70F9C" w:rsidP="00C114FC">
            <w:pPr>
              <w:pStyle w:val="BodyText"/>
              <w:ind w:right="227"/>
              <w:rPr>
                <w:b/>
                <w:color w:val="57AE93"/>
                <w:szCs w:val="22"/>
              </w:rPr>
            </w:pPr>
            <w:r w:rsidRPr="00837805">
              <w:rPr>
                <w:b/>
                <w:color w:val="57AE93"/>
                <w:szCs w:val="22"/>
              </w:rPr>
              <w:t xml:space="preserve">AOM Phase 2 Snapshot Report </w:t>
            </w:r>
            <w:r w:rsidRPr="00837805">
              <w:rPr>
                <w:color w:val="57AE93"/>
                <w:szCs w:val="22"/>
              </w:rPr>
              <w:t>shows audience comfort to participate in public events is increasing across Australia, except in VIC due to the rising case numbers.</w:t>
            </w:r>
            <w:r w:rsidR="0043398B">
              <w:rPr>
                <w:rFonts w:ascii="ZWAdobeF" w:hAnsi="ZWAdobeF" w:cs="ZWAdobeF"/>
                <w:sz w:val="2"/>
                <w:szCs w:val="2"/>
              </w:rPr>
              <w:t>10F</w:t>
            </w:r>
            <w:r w:rsidRPr="00837805">
              <w:rPr>
                <w:rStyle w:val="FootnoteReference"/>
                <w:color w:val="57AE93"/>
                <w:szCs w:val="22"/>
              </w:rPr>
              <w:footnoteReference w:id="12"/>
            </w:r>
            <w:r w:rsidRPr="00837805">
              <w:rPr>
                <w:color w:val="57AE93"/>
                <w:szCs w:val="22"/>
              </w:rPr>
              <w:t xml:space="preserve"> </w:t>
            </w:r>
          </w:p>
        </w:tc>
      </w:tr>
      <w:tr w:rsidR="00A70F9C" w14:paraId="5B170382" w14:textId="77777777" w:rsidTr="00C41A1F">
        <w:tc>
          <w:tcPr>
            <w:tcW w:w="2552" w:type="dxa"/>
          </w:tcPr>
          <w:p w14:paraId="459DBD3E" w14:textId="77777777" w:rsidR="00A70F9C" w:rsidRPr="00DA3A91" w:rsidRDefault="00A70F9C" w:rsidP="00C114FC">
            <w:pPr>
              <w:pStyle w:val="BodyText"/>
              <w:ind w:right="227"/>
              <w:jc w:val="right"/>
              <w:rPr>
                <w:b/>
                <w:color w:val="00B050"/>
                <w:szCs w:val="22"/>
              </w:rPr>
            </w:pPr>
            <w:r w:rsidRPr="00BE5497">
              <w:rPr>
                <w:b/>
                <w:color w:val="000000" w:themeColor="text1"/>
                <w:szCs w:val="22"/>
              </w:rPr>
              <w:t>8 July 2020 –</w:t>
            </w:r>
          </w:p>
        </w:tc>
        <w:tc>
          <w:tcPr>
            <w:tcW w:w="7302" w:type="dxa"/>
          </w:tcPr>
          <w:p w14:paraId="4F71C81E" w14:textId="77777777" w:rsidR="00A70F9C" w:rsidRPr="00DA3A91" w:rsidRDefault="00A70F9C" w:rsidP="00C114FC">
            <w:pPr>
              <w:pStyle w:val="BodyText"/>
              <w:ind w:right="227"/>
              <w:rPr>
                <w:b/>
                <w:color w:val="00B050"/>
                <w:szCs w:val="22"/>
              </w:rPr>
            </w:pPr>
            <w:r w:rsidRPr="00B0677E">
              <w:rPr>
                <w:b/>
                <w:szCs w:val="22"/>
              </w:rPr>
              <w:t>Restrictions are reinstated in the state of Victoria</w:t>
            </w:r>
            <w:r w:rsidRPr="00B0677E">
              <w:rPr>
                <w:szCs w:val="22"/>
              </w:rPr>
              <w:t xml:space="preserve"> as new COVID</w:t>
            </w:r>
            <w:r>
              <w:rPr>
                <w:szCs w:val="22"/>
              </w:rPr>
              <w:t>-19</w:t>
            </w:r>
            <w:r w:rsidRPr="00B0677E">
              <w:rPr>
                <w:szCs w:val="22"/>
              </w:rPr>
              <w:t xml:space="preserve"> clusters begin to be recorded (the ‘second wave’ of infection).</w:t>
            </w:r>
          </w:p>
        </w:tc>
      </w:tr>
      <w:tr w:rsidR="00A70F9C" w14:paraId="08027ECC" w14:textId="77777777" w:rsidTr="00C41A1F">
        <w:tc>
          <w:tcPr>
            <w:tcW w:w="2552" w:type="dxa"/>
          </w:tcPr>
          <w:p w14:paraId="1CEE7F8D" w14:textId="77777777" w:rsidR="00A70F9C" w:rsidRPr="00B0677E" w:rsidRDefault="00A70F9C" w:rsidP="00C114FC">
            <w:pPr>
              <w:pStyle w:val="BodyText"/>
              <w:ind w:right="227"/>
              <w:jc w:val="right"/>
              <w:rPr>
                <w:b/>
                <w:szCs w:val="22"/>
              </w:rPr>
            </w:pPr>
            <w:r w:rsidRPr="00B0677E">
              <w:rPr>
                <w:b/>
                <w:szCs w:val="22"/>
              </w:rPr>
              <w:t>2 August 2020 –</w:t>
            </w:r>
          </w:p>
        </w:tc>
        <w:tc>
          <w:tcPr>
            <w:tcW w:w="7302" w:type="dxa"/>
          </w:tcPr>
          <w:p w14:paraId="049FF83A" w14:textId="77777777" w:rsidR="00A70F9C" w:rsidRPr="00B0677E" w:rsidRDefault="00A70F9C" w:rsidP="00C114FC">
            <w:pPr>
              <w:pStyle w:val="BodyText"/>
              <w:ind w:right="227"/>
              <w:rPr>
                <w:b/>
                <w:szCs w:val="22"/>
              </w:rPr>
            </w:pPr>
            <w:r w:rsidRPr="00B0677E">
              <w:rPr>
                <w:szCs w:val="22"/>
              </w:rPr>
              <w:t>A state of disaster is declared in</w:t>
            </w:r>
            <w:r w:rsidRPr="00B0677E">
              <w:rPr>
                <w:b/>
                <w:szCs w:val="22"/>
              </w:rPr>
              <w:t xml:space="preserve"> Victoria</w:t>
            </w:r>
            <w:r w:rsidRPr="00DA3A91">
              <w:rPr>
                <w:szCs w:val="22"/>
              </w:rPr>
              <w:t>.</w:t>
            </w:r>
            <w:r w:rsidRPr="00B0677E">
              <w:rPr>
                <w:b/>
                <w:szCs w:val="22"/>
              </w:rPr>
              <w:t xml:space="preserve"> </w:t>
            </w:r>
          </w:p>
        </w:tc>
      </w:tr>
      <w:tr w:rsidR="00A70F9C" w14:paraId="09DC706C" w14:textId="77777777" w:rsidTr="00C41A1F">
        <w:tc>
          <w:tcPr>
            <w:tcW w:w="2552" w:type="dxa"/>
          </w:tcPr>
          <w:p w14:paraId="62C714A6" w14:textId="77777777" w:rsidR="00A70F9C" w:rsidRPr="00D87FF3" w:rsidRDefault="00A70F9C" w:rsidP="00C114FC">
            <w:pPr>
              <w:pStyle w:val="BodyText"/>
              <w:ind w:right="227"/>
              <w:jc w:val="right"/>
              <w:rPr>
                <w:b/>
                <w:color w:val="C76921"/>
                <w:szCs w:val="22"/>
              </w:rPr>
            </w:pPr>
            <w:r w:rsidRPr="00D87FF3">
              <w:rPr>
                <w:b/>
                <w:color w:val="C76921"/>
                <w:szCs w:val="22"/>
              </w:rPr>
              <w:t xml:space="preserve">6 August 2020 – </w:t>
            </w:r>
          </w:p>
        </w:tc>
        <w:tc>
          <w:tcPr>
            <w:tcW w:w="7302" w:type="dxa"/>
          </w:tcPr>
          <w:p w14:paraId="0A701B85" w14:textId="77777777" w:rsidR="00A70F9C" w:rsidRPr="00D87FF3" w:rsidRDefault="00A70F9C" w:rsidP="00C114FC">
            <w:pPr>
              <w:pStyle w:val="BodyText"/>
              <w:ind w:right="227"/>
              <w:rPr>
                <w:color w:val="C76921"/>
                <w:szCs w:val="22"/>
              </w:rPr>
            </w:pPr>
            <w:r w:rsidRPr="00D87FF3">
              <w:rPr>
                <w:color w:val="C76921"/>
                <w:szCs w:val="22"/>
              </w:rPr>
              <w:t xml:space="preserve">The </w:t>
            </w:r>
            <w:r w:rsidRPr="00D87FF3">
              <w:rPr>
                <w:b/>
                <w:color w:val="C76921"/>
                <w:szCs w:val="22"/>
              </w:rPr>
              <w:t>Darwin Aboriginal Art Fair</w:t>
            </w:r>
            <w:r w:rsidRPr="00D87FF3">
              <w:rPr>
                <w:color w:val="C76921"/>
                <w:szCs w:val="22"/>
              </w:rPr>
              <w:t xml:space="preserve"> (DAAF) moves to an online only event (also in 2021).</w:t>
            </w:r>
          </w:p>
        </w:tc>
      </w:tr>
      <w:tr w:rsidR="00A70F9C" w14:paraId="2A6D768E" w14:textId="77777777" w:rsidTr="00C41A1F">
        <w:tc>
          <w:tcPr>
            <w:tcW w:w="2552" w:type="dxa"/>
          </w:tcPr>
          <w:p w14:paraId="68D18E10" w14:textId="77777777" w:rsidR="00A70F9C" w:rsidRPr="008A5D9A" w:rsidRDefault="00A70F9C" w:rsidP="00C114FC">
            <w:pPr>
              <w:pStyle w:val="BodyText"/>
              <w:ind w:right="227"/>
              <w:jc w:val="right"/>
              <w:rPr>
                <w:b/>
                <w:color w:val="537FBB"/>
                <w:szCs w:val="22"/>
              </w:rPr>
            </w:pPr>
            <w:r w:rsidRPr="008A5D9A">
              <w:rPr>
                <w:b/>
                <w:color w:val="537FBB"/>
                <w:szCs w:val="22"/>
              </w:rPr>
              <w:t xml:space="preserve">11 August 2020 – </w:t>
            </w:r>
          </w:p>
        </w:tc>
        <w:tc>
          <w:tcPr>
            <w:tcW w:w="7302" w:type="dxa"/>
          </w:tcPr>
          <w:p w14:paraId="4A43E9CF" w14:textId="42068402" w:rsidR="00A70F9C" w:rsidRPr="008A5D9A" w:rsidRDefault="00A70F9C" w:rsidP="00C114FC">
            <w:pPr>
              <w:pStyle w:val="BodyText"/>
              <w:ind w:right="227"/>
              <w:rPr>
                <w:color w:val="537FBB"/>
                <w:szCs w:val="22"/>
              </w:rPr>
            </w:pPr>
            <w:r w:rsidRPr="008A5D9A">
              <w:rPr>
                <w:color w:val="537FBB"/>
                <w:szCs w:val="22"/>
              </w:rPr>
              <w:t>The Australian Government releases</w:t>
            </w:r>
            <w:r w:rsidRPr="008A5D9A">
              <w:rPr>
                <w:b/>
                <w:color w:val="537FBB"/>
                <w:szCs w:val="22"/>
              </w:rPr>
              <w:t xml:space="preserve"> </w:t>
            </w:r>
            <w:r w:rsidRPr="008A5D9A">
              <w:rPr>
                <w:color w:val="537FBB"/>
                <w:szCs w:val="22"/>
              </w:rPr>
              <w:t>guidelines</w:t>
            </w:r>
            <w:r w:rsidRPr="008A5D9A">
              <w:rPr>
                <w:b/>
                <w:color w:val="537FBB"/>
                <w:szCs w:val="22"/>
              </w:rPr>
              <w:t xml:space="preserve"> for the RISE fund, </w:t>
            </w:r>
            <w:r w:rsidRPr="008A5D9A">
              <w:rPr>
                <w:color w:val="537FBB"/>
                <w:szCs w:val="22"/>
              </w:rPr>
              <w:t>an industry specific support package for the cultural and creative industries.</w:t>
            </w:r>
            <w:r w:rsidR="0043398B">
              <w:rPr>
                <w:rFonts w:ascii="ZWAdobeF" w:hAnsi="ZWAdobeF" w:cs="ZWAdobeF"/>
                <w:sz w:val="2"/>
                <w:szCs w:val="2"/>
              </w:rPr>
              <w:t>11F</w:t>
            </w:r>
            <w:r w:rsidRPr="008A5D9A">
              <w:rPr>
                <w:rStyle w:val="FootnoteReference"/>
                <w:color w:val="537FBB"/>
                <w:szCs w:val="22"/>
              </w:rPr>
              <w:footnoteReference w:id="13"/>
            </w:r>
          </w:p>
        </w:tc>
      </w:tr>
      <w:tr w:rsidR="00A70F9C" w14:paraId="340E3B4C" w14:textId="77777777" w:rsidTr="00C41A1F">
        <w:tc>
          <w:tcPr>
            <w:tcW w:w="2552" w:type="dxa"/>
          </w:tcPr>
          <w:p w14:paraId="4469DC95" w14:textId="77777777" w:rsidR="00A70F9C" w:rsidRPr="008C24F7" w:rsidRDefault="00A70F9C" w:rsidP="00C114FC">
            <w:pPr>
              <w:pStyle w:val="BodyText"/>
              <w:ind w:right="227"/>
              <w:jc w:val="right"/>
              <w:rPr>
                <w:b/>
                <w:color w:val="C76B97"/>
                <w:szCs w:val="22"/>
              </w:rPr>
            </w:pPr>
            <w:r w:rsidRPr="008C24F7">
              <w:rPr>
                <w:b/>
                <w:color w:val="C76B97"/>
                <w:szCs w:val="22"/>
              </w:rPr>
              <w:t>30 September 2020 –</w:t>
            </w:r>
          </w:p>
        </w:tc>
        <w:tc>
          <w:tcPr>
            <w:tcW w:w="7302" w:type="dxa"/>
          </w:tcPr>
          <w:p w14:paraId="2C402668" w14:textId="0F0311BA" w:rsidR="00A70F9C" w:rsidRPr="008C24F7" w:rsidRDefault="00A70F9C" w:rsidP="00C114FC">
            <w:pPr>
              <w:pStyle w:val="BodyText"/>
              <w:ind w:right="227"/>
              <w:rPr>
                <w:color w:val="C76B97"/>
                <w:szCs w:val="22"/>
              </w:rPr>
            </w:pPr>
            <w:r w:rsidRPr="008C24F7">
              <w:rPr>
                <w:color w:val="C76B97"/>
                <w:szCs w:val="22"/>
              </w:rPr>
              <w:t xml:space="preserve">ABS data shows </w:t>
            </w:r>
            <w:r w:rsidRPr="008C24F7">
              <w:rPr>
                <w:b/>
                <w:color w:val="C76B97"/>
                <w:szCs w:val="22"/>
              </w:rPr>
              <w:t xml:space="preserve">arts and recreation businesses </w:t>
            </w:r>
            <w:r w:rsidRPr="008C24F7">
              <w:rPr>
                <w:color w:val="C76B97"/>
                <w:szCs w:val="22"/>
              </w:rPr>
              <w:t>are still the</w:t>
            </w:r>
            <w:r w:rsidRPr="008C24F7">
              <w:rPr>
                <w:b/>
                <w:color w:val="C76B97"/>
                <w:szCs w:val="22"/>
              </w:rPr>
              <w:t xml:space="preserve"> most likely to be operating under modified conditions</w:t>
            </w:r>
            <w:r w:rsidRPr="008C24F7">
              <w:rPr>
                <w:color w:val="C76B97"/>
                <w:szCs w:val="22"/>
              </w:rPr>
              <w:t xml:space="preserve"> (86% compared to the average of 64%).</w:t>
            </w:r>
            <w:r w:rsidR="0043398B">
              <w:rPr>
                <w:rFonts w:ascii="ZWAdobeF" w:hAnsi="ZWAdobeF" w:cs="ZWAdobeF"/>
                <w:sz w:val="2"/>
                <w:szCs w:val="2"/>
              </w:rPr>
              <w:t>12F</w:t>
            </w:r>
            <w:r w:rsidRPr="008C24F7">
              <w:rPr>
                <w:rStyle w:val="FootnoteReference"/>
                <w:color w:val="C76B97"/>
                <w:szCs w:val="22"/>
              </w:rPr>
              <w:footnoteReference w:id="14"/>
            </w:r>
          </w:p>
        </w:tc>
      </w:tr>
      <w:tr w:rsidR="00A70F9C" w14:paraId="5267F16B" w14:textId="77777777" w:rsidTr="00C41A1F">
        <w:tc>
          <w:tcPr>
            <w:tcW w:w="2552" w:type="dxa"/>
          </w:tcPr>
          <w:p w14:paraId="2105B272" w14:textId="77777777" w:rsidR="00A70F9C" w:rsidRPr="00837805" w:rsidRDefault="00A70F9C" w:rsidP="00C114FC">
            <w:pPr>
              <w:pStyle w:val="BodyText"/>
              <w:ind w:right="227"/>
              <w:jc w:val="right"/>
              <w:rPr>
                <w:b/>
                <w:color w:val="57AE93"/>
                <w:szCs w:val="22"/>
              </w:rPr>
            </w:pPr>
            <w:r w:rsidRPr="00837805">
              <w:rPr>
                <w:b/>
                <w:color w:val="57AE93"/>
                <w:szCs w:val="22"/>
              </w:rPr>
              <w:lastRenderedPageBreak/>
              <w:t>September 2020 –</w:t>
            </w:r>
          </w:p>
        </w:tc>
        <w:tc>
          <w:tcPr>
            <w:tcW w:w="7302" w:type="dxa"/>
          </w:tcPr>
          <w:p w14:paraId="729B7F1A" w14:textId="03CBCD9D" w:rsidR="00A70F9C" w:rsidRPr="00837805" w:rsidRDefault="00A70F9C" w:rsidP="00C114FC">
            <w:pPr>
              <w:pStyle w:val="BodyText"/>
              <w:ind w:right="227"/>
              <w:rPr>
                <w:color w:val="57AE93"/>
                <w:szCs w:val="22"/>
              </w:rPr>
            </w:pPr>
            <w:r w:rsidRPr="00837805">
              <w:rPr>
                <w:b/>
                <w:color w:val="57AE93"/>
                <w:szCs w:val="22"/>
              </w:rPr>
              <w:t xml:space="preserve">AOM Phase 3 Snapshot Report </w:t>
            </w:r>
            <w:r w:rsidRPr="00837805">
              <w:rPr>
                <w:color w:val="57AE93"/>
                <w:szCs w:val="22"/>
              </w:rPr>
              <w:t>shows audience comfort to participate in public events varies across Australia, based on rates of community transmission.</w:t>
            </w:r>
            <w:r w:rsidR="0043398B">
              <w:rPr>
                <w:rFonts w:ascii="ZWAdobeF" w:hAnsi="ZWAdobeF" w:cs="ZWAdobeF"/>
                <w:sz w:val="2"/>
                <w:szCs w:val="2"/>
              </w:rPr>
              <w:t>13F</w:t>
            </w:r>
            <w:r w:rsidRPr="00837805">
              <w:rPr>
                <w:rStyle w:val="FootnoteReference"/>
                <w:color w:val="57AE93"/>
                <w:szCs w:val="22"/>
              </w:rPr>
              <w:footnoteReference w:id="15"/>
            </w:r>
            <w:r w:rsidRPr="00837805">
              <w:rPr>
                <w:color w:val="57AE93"/>
                <w:szCs w:val="22"/>
              </w:rPr>
              <w:t xml:space="preserve"> </w:t>
            </w:r>
          </w:p>
        </w:tc>
      </w:tr>
      <w:tr w:rsidR="00A70F9C" w14:paraId="11A661E1" w14:textId="77777777" w:rsidTr="00C41A1F">
        <w:tc>
          <w:tcPr>
            <w:tcW w:w="2552" w:type="dxa"/>
          </w:tcPr>
          <w:p w14:paraId="78A58224" w14:textId="77777777" w:rsidR="00A70F9C" w:rsidRPr="00B0677E" w:rsidRDefault="00A70F9C" w:rsidP="00C114FC">
            <w:pPr>
              <w:pStyle w:val="BodyText"/>
              <w:ind w:right="227"/>
              <w:jc w:val="right"/>
              <w:rPr>
                <w:b/>
                <w:szCs w:val="22"/>
              </w:rPr>
            </w:pPr>
            <w:r w:rsidRPr="00B0677E">
              <w:rPr>
                <w:b/>
                <w:szCs w:val="22"/>
              </w:rPr>
              <w:t>18 October 2020 –</w:t>
            </w:r>
          </w:p>
        </w:tc>
        <w:tc>
          <w:tcPr>
            <w:tcW w:w="7302" w:type="dxa"/>
          </w:tcPr>
          <w:p w14:paraId="007E8AFB" w14:textId="77777777" w:rsidR="00A70F9C" w:rsidRPr="00B0677E" w:rsidRDefault="00A70F9C" w:rsidP="00C114FC">
            <w:pPr>
              <w:pStyle w:val="BodyText"/>
              <w:ind w:right="227"/>
              <w:rPr>
                <w:szCs w:val="22"/>
              </w:rPr>
            </w:pPr>
            <w:r w:rsidRPr="00B0677E">
              <w:rPr>
                <w:b/>
                <w:szCs w:val="22"/>
              </w:rPr>
              <w:t>Restrictions are significantly eased</w:t>
            </w:r>
            <w:r w:rsidRPr="00B0677E">
              <w:rPr>
                <w:szCs w:val="22"/>
              </w:rPr>
              <w:t xml:space="preserve"> in </w:t>
            </w:r>
            <w:r w:rsidRPr="00B0677E">
              <w:rPr>
                <w:b/>
                <w:szCs w:val="22"/>
              </w:rPr>
              <w:t>Victoria</w:t>
            </w:r>
            <w:r w:rsidRPr="00B0677E">
              <w:rPr>
                <w:szCs w:val="22"/>
              </w:rPr>
              <w:t>, with further easing on 28 October as case numbers decline</w:t>
            </w:r>
            <w:r w:rsidRPr="00DA3A91">
              <w:rPr>
                <w:szCs w:val="22"/>
              </w:rPr>
              <w:t>.</w:t>
            </w:r>
          </w:p>
        </w:tc>
      </w:tr>
      <w:tr w:rsidR="00A70F9C" w14:paraId="443F8FAB" w14:textId="77777777" w:rsidTr="00C41A1F">
        <w:tc>
          <w:tcPr>
            <w:tcW w:w="2552" w:type="dxa"/>
          </w:tcPr>
          <w:p w14:paraId="3705AC0A" w14:textId="77777777" w:rsidR="00A70F9C" w:rsidRPr="00B0677E" w:rsidRDefault="00A70F9C" w:rsidP="00C114FC">
            <w:pPr>
              <w:pStyle w:val="BodyText"/>
              <w:ind w:right="227"/>
              <w:jc w:val="right"/>
              <w:rPr>
                <w:b/>
                <w:szCs w:val="22"/>
              </w:rPr>
            </w:pPr>
            <w:r w:rsidRPr="00B0677E">
              <w:rPr>
                <w:b/>
                <w:szCs w:val="22"/>
              </w:rPr>
              <w:t xml:space="preserve">1 November 2020 –  </w:t>
            </w:r>
          </w:p>
        </w:tc>
        <w:tc>
          <w:tcPr>
            <w:tcW w:w="7302" w:type="dxa"/>
          </w:tcPr>
          <w:p w14:paraId="6FA5BC8E" w14:textId="77777777" w:rsidR="00A70F9C" w:rsidRPr="00B0677E" w:rsidRDefault="00A70F9C" w:rsidP="00C114FC">
            <w:pPr>
              <w:pStyle w:val="BodyText"/>
              <w:ind w:right="227"/>
              <w:rPr>
                <w:szCs w:val="22"/>
              </w:rPr>
            </w:pPr>
            <w:r w:rsidRPr="00B0677E">
              <w:rPr>
                <w:b/>
                <w:szCs w:val="22"/>
              </w:rPr>
              <w:t>Australia records zero locally acquired COVID</w:t>
            </w:r>
            <w:r>
              <w:rPr>
                <w:b/>
                <w:szCs w:val="22"/>
              </w:rPr>
              <w:t>-19</w:t>
            </w:r>
            <w:r w:rsidRPr="00B0677E">
              <w:rPr>
                <w:b/>
                <w:szCs w:val="22"/>
              </w:rPr>
              <w:t xml:space="preserve"> cases</w:t>
            </w:r>
            <w:r w:rsidRPr="00B0677E">
              <w:rPr>
                <w:szCs w:val="22"/>
              </w:rPr>
              <w:t xml:space="preserve"> for the first time since 9 June.</w:t>
            </w:r>
          </w:p>
        </w:tc>
      </w:tr>
      <w:tr w:rsidR="00A70F9C" w14:paraId="68F9B364" w14:textId="77777777" w:rsidTr="00C41A1F">
        <w:tc>
          <w:tcPr>
            <w:tcW w:w="2552" w:type="dxa"/>
          </w:tcPr>
          <w:p w14:paraId="5577652B" w14:textId="77777777" w:rsidR="00A70F9C" w:rsidRPr="00B0677E" w:rsidRDefault="00A70F9C" w:rsidP="00C114FC">
            <w:pPr>
              <w:pStyle w:val="BodyText"/>
              <w:ind w:right="227"/>
              <w:jc w:val="right"/>
              <w:rPr>
                <w:b/>
                <w:szCs w:val="22"/>
              </w:rPr>
            </w:pPr>
            <w:r w:rsidRPr="00B0677E">
              <w:rPr>
                <w:b/>
                <w:szCs w:val="22"/>
              </w:rPr>
              <w:t>19 December 2020 –</w:t>
            </w:r>
          </w:p>
        </w:tc>
        <w:tc>
          <w:tcPr>
            <w:tcW w:w="7302" w:type="dxa"/>
          </w:tcPr>
          <w:p w14:paraId="6070F87D" w14:textId="77777777" w:rsidR="00A70F9C" w:rsidRPr="00B0677E" w:rsidRDefault="00A70F9C" w:rsidP="00C114FC">
            <w:pPr>
              <w:pStyle w:val="BodyText"/>
              <w:ind w:right="227"/>
              <w:rPr>
                <w:szCs w:val="22"/>
              </w:rPr>
            </w:pPr>
            <w:r w:rsidRPr="00B0677E">
              <w:rPr>
                <w:szCs w:val="22"/>
              </w:rPr>
              <w:t xml:space="preserve">The </w:t>
            </w:r>
            <w:r w:rsidRPr="00B0677E">
              <w:rPr>
                <w:b/>
                <w:szCs w:val="22"/>
              </w:rPr>
              <w:t>Northern Beaches</w:t>
            </w:r>
            <w:r w:rsidRPr="00B0677E">
              <w:rPr>
                <w:szCs w:val="22"/>
              </w:rPr>
              <w:t xml:space="preserve"> of Sydney is declared a COVID</w:t>
            </w:r>
            <w:r>
              <w:rPr>
                <w:szCs w:val="22"/>
              </w:rPr>
              <w:t>-19</w:t>
            </w:r>
            <w:r w:rsidRPr="00B0677E">
              <w:rPr>
                <w:szCs w:val="22"/>
              </w:rPr>
              <w:t xml:space="preserve"> hotspot. This resulted in </w:t>
            </w:r>
            <w:r w:rsidRPr="00B0677E">
              <w:rPr>
                <w:b/>
                <w:szCs w:val="22"/>
              </w:rPr>
              <w:t xml:space="preserve">new restrictions and border controls </w:t>
            </w:r>
            <w:r w:rsidRPr="00B0677E">
              <w:rPr>
                <w:szCs w:val="22"/>
              </w:rPr>
              <w:t xml:space="preserve">for people living in this area and </w:t>
            </w:r>
            <w:r w:rsidRPr="00B0677E">
              <w:rPr>
                <w:b/>
                <w:szCs w:val="22"/>
              </w:rPr>
              <w:t>eventually Greater Sydney</w:t>
            </w:r>
            <w:r w:rsidRPr="00DA3A91">
              <w:rPr>
                <w:szCs w:val="22"/>
              </w:rPr>
              <w:t>.</w:t>
            </w:r>
            <w:r w:rsidRPr="00B0677E">
              <w:rPr>
                <w:b/>
                <w:szCs w:val="22"/>
              </w:rPr>
              <w:t xml:space="preserve"> </w:t>
            </w:r>
          </w:p>
        </w:tc>
      </w:tr>
      <w:tr w:rsidR="00A70F9C" w14:paraId="4C994E7A" w14:textId="77777777" w:rsidTr="00C41A1F">
        <w:tc>
          <w:tcPr>
            <w:tcW w:w="2552" w:type="dxa"/>
          </w:tcPr>
          <w:p w14:paraId="4E63F751" w14:textId="77777777" w:rsidR="00A70F9C" w:rsidRPr="008C24F7" w:rsidRDefault="00A70F9C" w:rsidP="00C114FC">
            <w:pPr>
              <w:pStyle w:val="BodyText"/>
              <w:ind w:right="227"/>
              <w:jc w:val="right"/>
              <w:rPr>
                <w:b/>
                <w:color w:val="C76B97"/>
                <w:szCs w:val="22"/>
              </w:rPr>
            </w:pPr>
            <w:r w:rsidRPr="008C24F7">
              <w:rPr>
                <w:b/>
                <w:color w:val="C76B97"/>
                <w:szCs w:val="22"/>
              </w:rPr>
              <w:t xml:space="preserve">31 December 2020 –  </w:t>
            </w:r>
          </w:p>
        </w:tc>
        <w:tc>
          <w:tcPr>
            <w:tcW w:w="7302" w:type="dxa"/>
          </w:tcPr>
          <w:p w14:paraId="6C13BF28" w14:textId="3C9BA6A0" w:rsidR="00A70F9C" w:rsidRPr="008C24F7" w:rsidRDefault="00A70F9C" w:rsidP="00C114FC">
            <w:pPr>
              <w:pStyle w:val="BodyText"/>
              <w:ind w:right="227"/>
              <w:rPr>
                <w:color w:val="C76B97"/>
                <w:szCs w:val="22"/>
              </w:rPr>
            </w:pPr>
            <w:r w:rsidRPr="008C24F7">
              <w:rPr>
                <w:color w:val="C76B97"/>
                <w:szCs w:val="22"/>
              </w:rPr>
              <w:t xml:space="preserve">ABS data shows </w:t>
            </w:r>
            <w:r w:rsidRPr="008C24F7">
              <w:rPr>
                <w:b/>
                <w:color w:val="C76B97"/>
                <w:szCs w:val="22"/>
              </w:rPr>
              <w:t>half of arts and recreation businesses are expecting difficulty</w:t>
            </w:r>
            <w:r w:rsidRPr="008C24F7">
              <w:rPr>
                <w:color w:val="C76B97"/>
                <w:szCs w:val="22"/>
              </w:rPr>
              <w:t xml:space="preserve"> in meeting their financial commitments over the upcoming three months.</w:t>
            </w:r>
            <w:r w:rsidRPr="008C24F7">
              <w:rPr>
                <w:rStyle w:val="FootnoteReference"/>
                <w:color w:val="C76B97"/>
                <w:szCs w:val="22"/>
              </w:rPr>
              <w:t xml:space="preserve"> </w:t>
            </w:r>
            <w:r w:rsidR="0043398B">
              <w:rPr>
                <w:rFonts w:ascii="ZWAdobeF" w:hAnsi="ZWAdobeF" w:cs="ZWAdobeF"/>
                <w:sz w:val="2"/>
                <w:szCs w:val="2"/>
              </w:rPr>
              <w:t>14F</w:t>
            </w:r>
            <w:r w:rsidRPr="008C24F7">
              <w:rPr>
                <w:rStyle w:val="FootnoteReference"/>
                <w:color w:val="C76B97"/>
                <w:szCs w:val="22"/>
              </w:rPr>
              <w:footnoteReference w:id="16"/>
            </w:r>
          </w:p>
        </w:tc>
      </w:tr>
      <w:tr w:rsidR="00A70F9C" w14:paraId="146B53F2" w14:textId="77777777" w:rsidTr="00C41A1F">
        <w:tc>
          <w:tcPr>
            <w:tcW w:w="2552" w:type="dxa"/>
          </w:tcPr>
          <w:p w14:paraId="30647C5B" w14:textId="77777777" w:rsidR="00A70F9C" w:rsidRPr="00B0677E" w:rsidRDefault="00A70F9C" w:rsidP="00C114FC">
            <w:pPr>
              <w:pStyle w:val="BodyText"/>
              <w:ind w:right="227"/>
              <w:jc w:val="right"/>
              <w:rPr>
                <w:b/>
                <w:szCs w:val="22"/>
              </w:rPr>
            </w:pPr>
            <w:r w:rsidRPr="00B0677E">
              <w:rPr>
                <w:b/>
                <w:szCs w:val="22"/>
              </w:rPr>
              <w:t>2 January 2021 –</w:t>
            </w:r>
          </w:p>
        </w:tc>
        <w:tc>
          <w:tcPr>
            <w:tcW w:w="7302" w:type="dxa"/>
          </w:tcPr>
          <w:p w14:paraId="1A038754" w14:textId="77777777" w:rsidR="00A70F9C" w:rsidRPr="00DA3A91" w:rsidRDefault="00A70F9C" w:rsidP="00C114FC">
            <w:pPr>
              <w:pStyle w:val="BodyText"/>
              <w:ind w:right="227"/>
              <w:rPr>
                <w:szCs w:val="22"/>
              </w:rPr>
            </w:pPr>
            <w:r w:rsidRPr="00B0677E">
              <w:rPr>
                <w:b/>
                <w:szCs w:val="22"/>
              </w:rPr>
              <w:t>Facemasks become mandatory</w:t>
            </w:r>
            <w:r w:rsidRPr="00B0677E">
              <w:rPr>
                <w:szCs w:val="22"/>
              </w:rPr>
              <w:t xml:space="preserve"> in many enclosed places in Greater Sydney, including performance venues. </w:t>
            </w:r>
            <w:r w:rsidRPr="00DA3A91">
              <w:rPr>
                <w:b/>
                <w:szCs w:val="22"/>
              </w:rPr>
              <w:t>Events which are ‘seated, ticketed and enclosed’ are reduced</w:t>
            </w:r>
            <w:r w:rsidRPr="00DA3A91">
              <w:rPr>
                <w:szCs w:val="22"/>
              </w:rPr>
              <w:t xml:space="preserve"> back to 2,000 maximum. </w:t>
            </w:r>
            <w:r w:rsidRPr="00DA3A91">
              <w:rPr>
                <w:b/>
                <w:szCs w:val="22"/>
              </w:rPr>
              <w:t>Outdoor performances are reduced</w:t>
            </w:r>
            <w:r w:rsidRPr="00DA3A91">
              <w:rPr>
                <w:szCs w:val="22"/>
              </w:rPr>
              <w:t xml:space="preserve"> from 1,000 to 500 patrons.</w:t>
            </w:r>
          </w:p>
        </w:tc>
      </w:tr>
      <w:tr w:rsidR="00A70F9C" w14:paraId="5DD9F1CC" w14:textId="77777777" w:rsidTr="00C41A1F">
        <w:tc>
          <w:tcPr>
            <w:tcW w:w="2552" w:type="dxa"/>
          </w:tcPr>
          <w:p w14:paraId="748027C1" w14:textId="77777777" w:rsidR="00A70F9C" w:rsidRPr="00B0677E" w:rsidRDefault="00A70F9C" w:rsidP="00C114FC">
            <w:pPr>
              <w:pStyle w:val="BodyText"/>
              <w:ind w:right="227"/>
              <w:jc w:val="right"/>
              <w:rPr>
                <w:b/>
                <w:szCs w:val="22"/>
              </w:rPr>
            </w:pPr>
            <w:r w:rsidRPr="00B0677E">
              <w:rPr>
                <w:b/>
                <w:szCs w:val="22"/>
              </w:rPr>
              <w:t xml:space="preserve">12 February 2021– </w:t>
            </w:r>
          </w:p>
        </w:tc>
        <w:tc>
          <w:tcPr>
            <w:tcW w:w="7302" w:type="dxa"/>
          </w:tcPr>
          <w:p w14:paraId="738203D5" w14:textId="77777777" w:rsidR="00A70F9C" w:rsidRPr="00B0677E" w:rsidRDefault="00A70F9C" w:rsidP="00C114FC">
            <w:pPr>
              <w:pStyle w:val="BodyText"/>
              <w:ind w:right="227"/>
              <w:rPr>
                <w:szCs w:val="22"/>
              </w:rPr>
            </w:pPr>
            <w:r w:rsidRPr="00B0677E">
              <w:rPr>
                <w:szCs w:val="22"/>
              </w:rPr>
              <w:t xml:space="preserve">Victoria goes into a </w:t>
            </w:r>
            <w:r w:rsidRPr="00B0677E">
              <w:rPr>
                <w:b/>
                <w:szCs w:val="22"/>
              </w:rPr>
              <w:t>five-day lockdown</w:t>
            </w:r>
            <w:r w:rsidRPr="00B0677E">
              <w:rPr>
                <w:szCs w:val="22"/>
              </w:rPr>
              <w:t>.</w:t>
            </w:r>
          </w:p>
        </w:tc>
      </w:tr>
      <w:tr w:rsidR="00A70F9C" w14:paraId="25C2ECFC" w14:textId="77777777" w:rsidTr="00C41A1F">
        <w:tc>
          <w:tcPr>
            <w:tcW w:w="2552" w:type="dxa"/>
          </w:tcPr>
          <w:p w14:paraId="0D1DFCD9" w14:textId="77777777" w:rsidR="00A70F9C" w:rsidRPr="00B0677E" w:rsidRDefault="00A70F9C" w:rsidP="00C114FC">
            <w:pPr>
              <w:pStyle w:val="BodyText"/>
              <w:ind w:right="227"/>
              <w:jc w:val="right"/>
              <w:rPr>
                <w:b/>
                <w:szCs w:val="22"/>
              </w:rPr>
            </w:pPr>
            <w:r w:rsidRPr="00B0677E">
              <w:rPr>
                <w:b/>
                <w:szCs w:val="22"/>
              </w:rPr>
              <w:t>22 February 2021 –</w:t>
            </w:r>
          </w:p>
        </w:tc>
        <w:tc>
          <w:tcPr>
            <w:tcW w:w="7302" w:type="dxa"/>
          </w:tcPr>
          <w:p w14:paraId="5279CD39" w14:textId="77777777" w:rsidR="00A70F9C" w:rsidRPr="00B0677E" w:rsidRDefault="00A70F9C" w:rsidP="00C114FC">
            <w:pPr>
              <w:pStyle w:val="BodyText"/>
              <w:ind w:right="227"/>
              <w:rPr>
                <w:szCs w:val="22"/>
              </w:rPr>
            </w:pPr>
            <w:r w:rsidRPr="00B0677E">
              <w:rPr>
                <w:szCs w:val="22"/>
              </w:rPr>
              <w:t xml:space="preserve">Australia’s </w:t>
            </w:r>
            <w:r w:rsidRPr="00B0677E">
              <w:rPr>
                <w:b/>
                <w:szCs w:val="22"/>
              </w:rPr>
              <w:t>vaccination program begins</w:t>
            </w:r>
            <w:r w:rsidRPr="00B0677E">
              <w:rPr>
                <w:szCs w:val="22"/>
              </w:rPr>
              <w:t xml:space="preserve"> to be rolled out.</w:t>
            </w:r>
          </w:p>
        </w:tc>
      </w:tr>
      <w:tr w:rsidR="00A70F9C" w14:paraId="21DD791B" w14:textId="77777777" w:rsidTr="00C41A1F">
        <w:tc>
          <w:tcPr>
            <w:tcW w:w="2552" w:type="dxa"/>
          </w:tcPr>
          <w:p w14:paraId="420A3AE4" w14:textId="77777777" w:rsidR="00A70F9C" w:rsidRPr="00B0677E" w:rsidRDefault="00A70F9C" w:rsidP="00C114FC">
            <w:pPr>
              <w:pStyle w:val="BodyText"/>
              <w:ind w:right="227"/>
              <w:jc w:val="right"/>
              <w:rPr>
                <w:b/>
                <w:szCs w:val="22"/>
              </w:rPr>
            </w:pPr>
            <w:r w:rsidRPr="00B0677E">
              <w:rPr>
                <w:b/>
                <w:szCs w:val="22"/>
              </w:rPr>
              <w:t>26 February 2021 –</w:t>
            </w:r>
          </w:p>
        </w:tc>
        <w:tc>
          <w:tcPr>
            <w:tcW w:w="7302" w:type="dxa"/>
          </w:tcPr>
          <w:p w14:paraId="1D821146" w14:textId="77777777" w:rsidR="00A70F9C" w:rsidRPr="00B0677E" w:rsidRDefault="00A70F9C" w:rsidP="00C114FC">
            <w:pPr>
              <w:pStyle w:val="BodyText"/>
              <w:ind w:right="227"/>
              <w:rPr>
                <w:szCs w:val="22"/>
              </w:rPr>
            </w:pPr>
            <w:r w:rsidRPr="00B0677E">
              <w:rPr>
                <w:szCs w:val="22"/>
              </w:rPr>
              <w:t xml:space="preserve">Restrictions eased </w:t>
            </w:r>
            <w:r w:rsidRPr="00B0677E">
              <w:rPr>
                <w:b/>
                <w:szCs w:val="22"/>
              </w:rPr>
              <w:t>in Greater Sydney</w:t>
            </w:r>
            <w:r w:rsidRPr="00B0677E">
              <w:rPr>
                <w:szCs w:val="22"/>
              </w:rPr>
              <w:t>.</w:t>
            </w:r>
          </w:p>
        </w:tc>
      </w:tr>
      <w:tr w:rsidR="00A70F9C" w14:paraId="644B0ABC" w14:textId="77777777" w:rsidTr="00C41A1F">
        <w:tc>
          <w:tcPr>
            <w:tcW w:w="2552" w:type="dxa"/>
          </w:tcPr>
          <w:p w14:paraId="487BD002" w14:textId="77777777" w:rsidR="00A70F9C" w:rsidRPr="00D87FF3" w:rsidRDefault="00A70F9C" w:rsidP="00C114FC">
            <w:pPr>
              <w:pStyle w:val="BodyText"/>
              <w:ind w:right="227"/>
              <w:jc w:val="right"/>
              <w:rPr>
                <w:b/>
                <w:color w:val="537FBB"/>
                <w:szCs w:val="22"/>
              </w:rPr>
            </w:pPr>
            <w:r w:rsidRPr="00D87FF3">
              <w:rPr>
                <w:b/>
                <w:color w:val="537FBB"/>
                <w:szCs w:val="22"/>
              </w:rPr>
              <w:t xml:space="preserve">25 March 2021 – </w:t>
            </w:r>
          </w:p>
        </w:tc>
        <w:tc>
          <w:tcPr>
            <w:tcW w:w="7302" w:type="dxa"/>
          </w:tcPr>
          <w:p w14:paraId="50E7B657" w14:textId="77777777" w:rsidR="00A70F9C" w:rsidRPr="00D87FF3" w:rsidRDefault="00A70F9C" w:rsidP="00C114FC">
            <w:pPr>
              <w:pStyle w:val="BodyText"/>
              <w:ind w:right="227"/>
              <w:rPr>
                <w:color w:val="537FBB"/>
                <w:szCs w:val="22"/>
              </w:rPr>
            </w:pPr>
            <w:r w:rsidRPr="00D87FF3">
              <w:rPr>
                <w:color w:val="537FBB"/>
                <w:szCs w:val="22"/>
              </w:rPr>
              <w:t xml:space="preserve">The Australian Government announces </w:t>
            </w:r>
            <w:r w:rsidRPr="00D87FF3">
              <w:rPr>
                <w:b/>
                <w:color w:val="537FBB"/>
                <w:szCs w:val="22"/>
              </w:rPr>
              <w:t xml:space="preserve">an additional $135m </w:t>
            </w:r>
            <w:r w:rsidRPr="00D87FF3">
              <w:rPr>
                <w:color w:val="537FBB"/>
                <w:szCs w:val="22"/>
              </w:rPr>
              <w:t>support for the creative sector</w:t>
            </w:r>
            <w:r w:rsidRPr="00D87FF3">
              <w:rPr>
                <w:b/>
                <w:color w:val="537FBB"/>
                <w:szCs w:val="22"/>
              </w:rPr>
              <w:t xml:space="preserve"> </w:t>
            </w:r>
            <w:r w:rsidRPr="00D87FF3">
              <w:rPr>
                <w:color w:val="537FBB"/>
                <w:szCs w:val="22"/>
              </w:rPr>
              <w:t>via the</w:t>
            </w:r>
            <w:r w:rsidRPr="00D87FF3">
              <w:rPr>
                <w:b/>
                <w:color w:val="537FBB"/>
                <w:szCs w:val="22"/>
              </w:rPr>
              <w:t xml:space="preserve"> RISE fund</w:t>
            </w:r>
            <w:r w:rsidRPr="00D87FF3">
              <w:rPr>
                <w:color w:val="537FBB"/>
                <w:szCs w:val="22"/>
              </w:rPr>
              <w:t>.</w:t>
            </w:r>
          </w:p>
        </w:tc>
      </w:tr>
      <w:tr w:rsidR="00A70F9C" w14:paraId="06B22BF9" w14:textId="77777777" w:rsidTr="00C41A1F">
        <w:tc>
          <w:tcPr>
            <w:tcW w:w="2552" w:type="dxa"/>
          </w:tcPr>
          <w:p w14:paraId="2DE7B40D" w14:textId="77777777" w:rsidR="00A70F9C" w:rsidRPr="00837805" w:rsidRDefault="00A70F9C" w:rsidP="00C114FC">
            <w:pPr>
              <w:pStyle w:val="BodyText"/>
              <w:ind w:right="227"/>
              <w:jc w:val="right"/>
              <w:rPr>
                <w:b/>
                <w:color w:val="57AE93"/>
                <w:szCs w:val="22"/>
              </w:rPr>
            </w:pPr>
            <w:r w:rsidRPr="00837805">
              <w:rPr>
                <w:b/>
                <w:color w:val="57AE93"/>
                <w:szCs w:val="22"/>
              </w:rPr>
              <w:t>March 2021 –</w:t>
            </w:r>
          </w:p>
        </w:tc>
        <w:tc>
          <w:tcPr>
            <w:tcW w:w="7302" w:type="dxa"/>
          </w:tcPr>
          <w:p w14:paraId="2CF323D3" w14:textId="3A541082" w:rsidR="00A70F9C" w:rsidRPr="00837805" w:rsidRDefault="00A70F9C" w:rsidP="00C114FC">
            <w:pPr>
              <w:pStyle w:val="BodyText"/>
              <w:ind w:right="227"/>
              <w:rPr>
                <w:color w:val="57AE93"/>
                <w:szCs w:val="22"/>
              </w:rPr>
            </w:pPr>
            <w:r w:rsidRPr="00837805">
              <w:rPr>
                <w:b/>
                <w:color w:val="57AE93"/>
                <w:szCs w:val="22"/>
              </w:rPr>
              <w:t xml:space="preserve">AOM Phase 4 Snapshot Report </w:t>
            </w:r>
            <w:r w:rsidRPr="00837805">
              <w:rPr>
                <w:color w:val="57AE93"/>
                <w:szCs w:val="22"/>
              </w:rPr>
              <w:t xml:space="preserve">shows a </w:t>
            </w:r>
            <w:r w:rsidRPr="00837805">
              <w:rPr>
                <w:b/>
                <w:color w:val="57AE93"/>
                <w:szCs w:val="22"/>
              </w:rPr>
              <w:t>resurgence of arts and cultural attendance across the country</w:t>
            </w:r>
            <w:r w:rsidRPr="00837805">
              <w:rPr>
                <w:color w:val="57AE93"/>
                <w:szCs w:val="22"/>
              </w:rPr>
              <w:t>. Thanks to increasing numbers of events and outdoor programming over summer, most audiences had recently attended a cultural venue or event of some kind or were making plans to attend in future.</w:t>
            </w:r>
            <w:r w:rsidR="0043398B">
              <w:rPr>
                <w:rFonts w:ascii="ZWAdobeF" w:hAnsi="ZWAdobeF" w:cs="ZWAdobeF"/>
                <w:sz w:val="2"/>
                <w:szCs w:val="2"/>
              </w:rPr>
              <w:t>15F</w:t>
            </w:r>
            <w:r w:rsidRPr="00837805">
              <w:rPr>
                <w:rStyle w:val="FootnoteReference"/>
                <w:color w:val="57AE93"/>
                <w:szCs w:val="22"/>
              </w:rPr>
              <w:footnoteReference w:id="17"/>
            </w:r>
          </w:p>
        </w:tc>
      </w:tr>
      <w:tr w:rsidR="00A70F9C" w14:paraId="1E99DFAF" w14:textId="77777777" w:rsidTr="00C41A1F">
        <w:tc>
          <w:tcPr>
            <w:tcW w:w="2552" w:type="dxa"/>
          </w:tcPr>
          <w:p w14:paraId="7C4DAC85" w14:textId="77777777" w:rsidR="00A70F9C" w:rsidRPr="00B0677E" w:rsidRDefault="00A70F9C" w:rsidP="00C114FC">
            <w:pPr>
              <w:pStyle w:val="BodyText"/>
              <w:ind w:right="227"/>
              <w:jc w:val="right"/>
              <w:rPr>
                <w:b/>
                <w:szCs w:val="22"/>
              </w:rPr>
            </w:pPr>
            <w:r w:rsidRPr="00B0677E">
              <w:rPr>
                <w:b/>
                <w:szCs w:val="22"/>
              </w:rPr>
              <w:t>27 May 2021 –</w:t>
            </w:r>
          </w:p>
        </w:tc>
        <w:tc>
          <w:tcPr>
            <w:tcW w:w="7302" w:type="dxa"/>
          </w:tcPr>
          <w:p w14:paraId="4AE06BF1" w14:textId="77777777" w:rsidR="00A70F9C" w:rsidRPr="00B0677E" w:rsidRDefault="00A70F9C" w:rsidP="00C114FC">
            <w:pPr>
              <w:pStyle w:val="BodyText"/>
              <w:ind w:right="227"/>
              <w:rPr>
                <w:b/>
                <w:color w:val="00B050"/>
                <w:szCs w:val="22"/>
              </w:rPr>
            </w:pPr>
            <w:r w:rsidRPr="00B0677E">
              <w:rPr>
                <w:b/>
                <w:szCs w:val="22"/>
              </w:rPr>
              <w:t>Victoria</w:t>
            </w:r>
            <w:r w:rsidRPr="00B0677E">
              <w:rPr>
                <w:szCs w:val="22"/>
              </w:rPr>
              <w:t xml:space="preserve"> goes into another lockdown until 3 June.</w:t>
            </w:r>
          </w:p>
        </w:tc>
      </w:tr>
      <w:tr w:rsidR="00A70F9C" w14:paraId="1C0F64B3" w14:textId="77777777" w:rsidTr="00C41A1F">
        <w:tc>
          <w:tcPr>
            <w:tcW w:w="2552" w:type="dxa"/>
          </w:tcPr>
          <w:p w14:paraId="1026FBF8" w14:textId="77777777" w:rsidR="00A70F9C" w:rsidRPr="00D87FF3" w:rsidRDefault="00A70F9C" w:rsidP="00C114FC">
            <w:pPr>
              <w:pStyle w:val="BodyText"/>
              <w:ind w:right="227"/>
              <w:jc w:val="right"/>
              <w:rPr>
                <w:b/>
                <w:color w:val="C76921"/>
                <w:szCs w:val="22"/>
              </w:rPr>
            </w:pPr>
            <w:r w:rsidRPr="00D87FF3">
              <w:rPr>
                <w:b/>
                <w:color w:val="C76921"/>
                <w:szCs w:val="22"/>
              </w:rPr>
              <w:lastRenderedPageBreak/>
              <w:t>2 June 2021 –</w:t>
            </w:r>
          </w:p>
        </w:tc>
        <w:tc>
          <w:tcPr>
            <w:tcW w:w="7302" w:type="dxa"/>
          </w:tcPr>
          <w:p w14:paraId="429CFFD5" w14:textId="77777777" w:rsidR="00A70F9C" w:rsidRPr="00D87FF3" w:rsidRDefault="00A70F9C" w:rsidP="00C114FC">
            <w:pPr>
              <w:pStyle w:val="BodyText"/>
              <w:ind w:right="227"/>
              <w:rPr>
                <w:b/>
                <w:color w:val="C76921"/>
                <w:szCs w:val="22"/>
              </w:rPr>
            </w:pPr>
            <w:r w:rsidRPr="00D87FF3">
              <w:rPr>
                <w:b/>
                <w:color w:val="C76921"/>
                <w:szCs w:val="22"/>
              </w:rPr>
              <w:t>Splendour in the Grass announces Splendour XR</w:t>
            </w:r>
            <w:r w:rsidRPr="00D87FF3">
              <w:rPr>
                <w:color w:val="C76921"/>
                <w:szCs w:val="22"/>
              </w:rPr>
              <w:t>, a virtual edition of the annual festival on 24–25 July.</w:t>
            </w:r>
          </w:p>
        </w:tc>
      </w:tr>
      <w:tr w:rsidR="00A70F9C" w14:paraId="570B4B2A" w14:textId="77777777" w:rsidTr="00C41A1F">
        <w:tc>
          <w:tcPr>
            <w:tcW w:w="2552" w:type="dxa"/>
          </w:tcPr>
          <w:p w14:paraId="1596E419" w14:textId="77777777" w:rsidR="00A70F9C" w:rsidRPr="00D87FF3" w:rsidRDefault="00A70F9C" w:rsidP="00C114FC">
            <w:pPr>
              <w:pStyle w:val="BodyText"/>
              <w:ind w:right="227"/>
              <w:jc w:val="right"/>
              <w:rPr>
                <w:b/>
                <w:color w:val="537FBB"/>
                <w:szCs w:val="22"/>
              </w:rPr>
            </w:pPr>
            <w:r w:rsidRPr="00D87FF3">
              <w:rPr>
                <w:b/>
                <w:color w:val="537FBB"/>
                <w:szCs w:val="22"/>
              </w:rPr>
              <w:t>3 June 2021 –</w:t>
            </w:r>
          </w:p>
        </w:tc>
        <w:tc>
          <w:tcPr>
            <w:tcW w:w="7302" w:type="dxa"/>
          </w:tcPr>
          <w:p w14:paraId="58B947FB" w14:textId="77777777" w:rsidR="00A70F9C" w:rsidRPr="00D87FF3" w:rsidRDefault="00A70F9C" w:rsidP="00C114FC">
            <w:pPr>
              <w:pStyle w:val="BodyText"/>
              <w:ind w:right="227"/>
              <w:rPr>
                <w:b/>
                <w:color w:val="537FBB"/>
                <w:szCs w:val="22"/>
              </w:rPr>
            </w:pPr>
            <w:r w:rsidRPr="00D87FF3">
              <w:rPr>
                <w:color w:val="537FBB"/>
                <w:szCs w:val="22"/>
              </w:rPr>
              <w:t>The Australian Government announces the</w:t>
            </w:r>
            <w:r w:rsidRPr="00D87FF3">
              <w:rPr>
                <w:b/>
                <w:color w:val="537FBB"/>
                <w:szCs w:val="22"/>
              </w:rPr>
              <w:t xml:space="preserve"> COVID-19 Disaster Payment,</w:t>
            </w:r>
            <w:r w:rsidRPr="00D87FF3">
              <w:rPr>
                <w:color w:val="537FBB"/>
              </w:rPr>
              <w:t xml:space="preserve"> </w:t>
            </w:r>
            <w:r w:rsidRPr="00D87FF3">
              <w:rPr>
                <w:color w:val="537FBB"/>
                <w:szCs w:val="22"/>
              </w:rPr>
              <w:t>a lump sum to help workers who were unable to earn income due to a state or territory public health order.</w:t>
            </w:r>
          </w:p>
        </w:tc>
      </w:tr>
      <w:tr w:rsidR="00A70F9C" w14:paraId="1A4A6E75" w14:textId="77777777" w:rsidTr="00C41A1F">
        <w:tc>
          <w:tcPr>
            <w:tcW w:w="2552" w:type="dxa"/>
          </w:tcPr>
          <w:p w14:paraId="674F6212" w14:textId="77777777" w:rsidR="00A70F9C" w:rsidRPr="00B0677E" w:rsidRDefault="00A70F9C" w:rsidP="00C114FC">
            <w:pPr>
              <w:pStyle w:val="BodyText"/>
              <w:ind w:right="227"/>
              <w:jc w:val="right"/>
              <w:rPr>
                <w:b/>
                <w:szCs w:val="22"/>
              </w:rPr>
            </w:pPr>
            <w:r w:rsidRPr="00B0677E">
              <w:rPr>
                <w:b/>
                <w:szCs w:val="22"/>
              </w:rPr>
              <w:t>25 June 2021 –</w:t>
            </w:r>
          </w:p>
        </w:tc>
        <w:tc>
          <w:tcPr>
            <w:tcW w:w="7302" w:type="dxa"/>
          </w:tcPr>
          <w:p w14:paraId="6B72483E" w14:textId="77777777" w:rsidR="00A70F9C" w:rsidRPr="00B0677E" w:rsidRDefault="00A70F9C" w:rsidP="00C114FC">
            <w:pPr>
              <w:pStyle w:val="BodyText"/>
              <w:ind w:right="227"/>
              <w:rPr>
                <w:szCs w:val="22"/>
              </w:rPr>
            </w:pPr>
            <w:r w:rsidRPr="00B0677E">
              <w:rPr>
                <w:b/>
                <w:szCs w:val="22"/>
              </w:rPr>
              <w:t>Greater Sydney goes into lockdown</w:t>
            </w:r>
            <w:r w:rsidRPr="00B0677E">
              <w:rPr>
                <w:szCs w:val="22"/>
              </w:rPr>
              <w:t xml:space="preserve">, with Victoria, </w:t>
            </w:r>
            <w:r>
              <w:rPr>
                <w:szCs w:val="22"/>
              </w:rPr>
              <w:t>p</w:t>
            </w:r>
            <w:r w:rsidRPr="00B0677E">
              <w:rPr>
                <w:szCs w:val="22"/>
              </w:rPr>
              <w:t xml:space="preserve">arts of Queensland, SA and the NT all responding to </w:t>
            </w:r>
            <w:r w:rsidRPr="00B0677E">
              <w:rPr>
                <w:b/>
                <w:szCs w:val="22"/>
              </w:rPr>
              <w:t>Delta outbreaks</w:t>
            </w:r>
            <w:r w:rsidRPr="00B0677E">
              <w:rPr>
                <w:szCs w:val="22"/>
              </w:rPr>
              <w:t>.</w:t>
            </w:r>
          </w:p>
        </w:tc>
      </w:tr>
      <w:tr w:rsidR="00A70F9C" w14:paraId="6B1FC174" w14:textId="77777777" w:rsidTr="00C41A1F">
        <w:tc>
          <w:tcPr>
            <w:tcW w:w="2552" w:type="dxa"/>
          </w:tcPr>
          <w:p w14:paraId="347C42C4" w14:textId="77777777" w:rsidR="00A70F9C" w:rsidRPr="008C24F7" w:rsidRDefault="00A70F9C" w:rsidP="00C114FC">
            <w:pPr>
              <w:pStyle w:val="BodyText"/>
              <w:ind w:right="227"/>
              <w:jc w:val="right"/>
              <w:rPr>
                <w:b/>
                <w:color w:val="C76B97"/>
                <w:szCs w:val="22"/>
              </w:rPr>
            </w:pPr>
            <w:r w:rsidRPr="008C24F7">
              <w:rPr>
                <w:b/>
                <w:color w:val="C76B97"/>
                <w:szCs w:val="22"/>
              </w:rPr>
              <w:t xml:space="preserve">30 June 2021 – </w:t>
            </w:r>
          </w:p>
        </w:tc>
        <w:tc>
          <w:tcPr>
            <w:tcW w:w="7302" w:type="dxa"/>
          </w:tcPr>
          <w:p w14:paraId="1E1A1EE4" w14:textId="460A1089" w:rsidR="00A70F9C" w:rsidRPr="008C24F7" w:rsidRDefault="00A70F9C" w:rsidP="00C114FC">
            <w:pPr>
              <w:pStyle w:val="BodyText"/>
              <w:ind w:right="227"/>
              <w:rPr>
                <w:color w:val="C76B97"/>
                <w:szCs w:val="22"/>
              </w:rPr>
            </w:pPr>
            <w:r w:rsidRPr="008C24F7">
              <w:rPr>
                <w:color w:val="C76B97"/>
                <w:szCs w:val="22"/>
              </w:rPr>
              <w:t xml:space="preserve">ABS data shows </w:t>
            </w:r>
            <w:r w:rsidRPr="008C24F7">
              <w:rPr>
                <w:b/>
                <w:color w:val="C76B97"/>
                <w:szCs w:val="22"/>
              </w:rPr>
              <w:t>arts and recreation businesses were the most likely to be expecting difficulty</w:t>
            </w:r>
            <w:r w:rsidRPr="008C24F7">
              <w:rPr>
                <w:color w:val="C76B97"/>
                <w:szCs w:val="22"/>
              </w:rPr>
              <w:t xml:space="preserve"> in meeting their financial commitments over the upcoming three months.</w:t>
            </w:r>
            <w:r w:rsidRPr="008C24F7">
              <w:rPr>
                <w:rStyle w:val="FootnoteReference"/>
                <w:color w:val="C76B97"/>
                <w:szCs w:val="22"/>
              </w:rPr>
              <w:t xml:space="preserve"> </w:t>
            </w:r>
            <w:r w:rsidR="0043398B">
              <w:rPr>
                <w:rFonts w:ascii="ZWAdobeF" w:hAnsi="ZWAdobeF" w:cs="ZWAdobeF"/>
                <w:sz w:val="2"/>
                <w:szCs w:val="2"/>
              </w:rPr>
              <w:t>16F</w:t>
            </w:r>
            <w:r w:rsidRPr="008C24F7">
              <w:rPr>
                <w:rStyle w:val="FootnoteReference"/>
                <w:color w:val="C76B97"/>
                <w:szCs w:val="22"/>
              </w:rPr>
              <w:footnoteReference w:id="18"/>
            </w:r>
          </w:p>
        </w:tc>
      </w:tr>
      <w:tr w:rsidR="00A70F9C" w14:paraId="361F196B" w14:textId="77777777" w:rsidTr="00C41A1F">
        <w:tc>
          <w:tcPr>
            <w:tcW w:w="2552" w:type="dxa"/>
          </w:tcPr>
          <w:p w14:paraId="3C4D7AEC" w14:textId="77777777" w:rsidR="00A70F9C" w:rsidRPr="00B0677E" w:rsidRDefault="00A70F9C" w:rsidP="00C114FC">
            <w:pPr>
              <w:pStyle w:val="BodyText"/>
              <w:ind w:right="227"/>
              <w:jc w:val="right"/>
              <w:rPr>
                <w:b/>
                <w:szCs w:val="22"/>
              </w:rPr>
            </w:pPr>
            <w:r w:rsidRPr="00B0677E">
              <w:rPr>
                <w:b/>
                <w:szCs w:val="22"/>
              </w:rPr>
              <w:t xml:space="preserve">15 July 2021 – </w:t>
            </w:r>
          </w:p>
        </w:tc>
        <w:tc>
          <w:tcPr>
            <w:tcW w:w="7302" w:type="dxa"/>
          </w:tcPr>
          <w:p w14:paraId="03718C46" w14:textId="77777777" w:rsidR="00A70F9C" w:rsidRPr="00B0677E" w:rsidRDefault="00A70F9C" w:rsidP="00C114FC">
            <w:pPr>
              <w:pStyle w:val="BodyText"/>
              <w:ind w:right="227"/>
              <w:rPr>
                <w:szCs w:val="22"/>
              </w:rPr>
            </w:pPr>
            <w:r w:rsidRPr="00B0677E">
              <w:rPr>
                <w:b/>
                <w:szCs w:val="22"/>
              </w:rPr>
              <w:t>Victoria</w:t>
            </w:r>
            <w:r w:rsidRPr="00B0677E">
              <w:rPr>
                <w:szCs w:val="22"/>
              </w:rPr>
              <w:t xml:space="preserve"> enters a snap lockdown for </w:t>
            </w:r>
            <w:r>
              <w:rPr>
                <w:szCs w:val="22"/>
              </w:rPr>
              <w:t>five</w:t>
            </w:r>
            <w:r w:rsidRPr="00B0677E">
              <w:rPr>
                <w:szCs w:val="22"/>
              </w:rPr>
              <w:t xml:space="preserve"> days. This is then extended until 27 July. </w:t>
            </w:r>
          </w:p>
        </w:tc>
      </w:tr>
      <w:tr w:rsidR="00A70F9C" w14:paraId="50DE0DFE" w14:textId="77777777" w:rsidTr="00C41A1F">
        <w:tc>
          <w:tcPr>
            <w:tcW w:w="2552" w:type="dxa"/>
          </w:tcPr>
          <w:p w14:paraId="621EFC5B" w14:textId="77777777" w:rsidR="00A70F9C" w:rsidRPr="00D87FF3" w:rsidRDefault="00A70F9C" w:rsidP="00C114FC">
            <w:pPr>
              <w:pStyle w:val="BodyText"/>
              <w:ind w:right="227"/>
              <w:jc w:val="right"/>
              <w:rPr>
                <w:b/>
                <w:color w:val="537FBB"/>
                <w:szCs w:val="22"/>
              </w:rPr>
            </w:pPr>
            <w:r w:rsidRPr="00D87FF3">
              <w:rPr>
                <w:b/>
                <w:color w:val="537FBB"/>
                <w:szCs w:val="22"/>
              </w:rPr>
              <w:t>19 July 2021 –</w:t>
            </w:r>
          </w:p>
        </w:tc>
        <w:tc>
          <w:tcPr>
            <w:tcW w:w="7302" w:type="dxa"/>
          </w:tcPr>
          <w:p w14:paraId="59C40AC5" w14:textId="77777777" w:rsidR="00A70F9C" w:rsidRPr="00D87FF3" w:rsidRDefault="00A70F9C" w:rsidP="00C114FC">
            <w:pPr>
              <w:pStyle w:val="BodyText"/>
              <w:ind w:right="227"/>
              <w:rPr>
                <w:b/>
                <w:color w:val="537FBB"/>
                <w:szCs w:val="22"/>
              </w:rPr>
            </w:pPr>
            <w:r w:rsidRPr="00D87FF3">
              <w:rPr>
                <w:color w:val="537FBB"/>
                <w:szCs w:val="22"/>
              </w:rPr>
              <w:t>The Australian Government opens applications for the</w:t>
            </w:r>
            <w:r w:rsidRPr="00D87FF3">
              <w:rPr>
                <w:b/>
                <w:color w:val="537FBB"/>
                <w:szCs w:val="22"/>
              </w:rPr>
              <w:t xml:space="preserve"> COVID-19 small business grants </w:t>
            </w:r>
            <w:r w:rsidRPr="00D87FF3">
              <w:rPr>
                <w:color w:val="537FBB"/>
                <w:szCs w:val="22"/>
              </w:rPr>
              <w:t>in NSW, this is followed by other states and territories. Closes on 1 October 2021.</w:t>
            </w:r>
          </w:p>
        </w:tc>
      </w:tr>
      <w:tr w:rsidR="00A70F9C" w14:paraId="0E6924C6" w14:textId="77777777" w:rsidTr="00C41A1F">
        <w:tc>
          <w:tcPr>
            <w:tcW w:w="2552" w:type="dxa"/>
          </w:tcPr>
          <w:p w14:paraId="71CBAEB9" w14:textId="77777777" w:rsidR="00A70F9C" w:rsidRPr="00D87FF3" w:rsidRDefault="00A70F9C" w:rsidP="00C114FC">
            <w:pPr>
              <w:pStyle w:val="BodyText"/>
              <w:ind w:right="227"/>
              <w:jc w:val="right"/>
              <w:rPr>
                <w:b/>
                <w:color w:val="537FBB"/>
                <w:szCs w:val="22"/>
              </w:rPr>
            </w:pPr>
            <w:r w:rsidRPr="00D87FF3">
              <w:rPr>
                <w:b/>
                <w:color w:val="537FBB"/>
                <w:szCs w:val="22"/>
              </w:rPr>
              <w:t>26 July 2021 –</w:t>
            </w:r>
          </w:p>
        </w:tc>
        <w:tc>
          <w:tcPr>
            <w:tcW w:w="7302" w:type="dxa"/>
          </w:tcPr>
          <w:p w14:paraId="2DFAED2A" w14:textId="77777777" w:rsidR="00A70F9C" w:rsidRPr="00D87FF3" w:rsidRDefault="00A70F9C" w:rsidP="00C114FC">
            <w:pPr>
              <w:pStyle w:val="BodyText"/>
              <w:ind w:right="227"/>
              <w:rPr>
                <w:b/>
                <w:color w:val="537FBB"/>
                <w:szCs w:val="22"/>
              </w:rPr>
            </w:pPr>
            <w:r w:rsidRPr="00D87FF3">
              <w:rPr>
                <w:color w:val="537FBB"/>
                <w:szCs w:val="22"/>
              </w:rPr>
              <w:t>The Australian Government opens applications for the</w:t>
            </w:r>
            <w:r w:rsidRPr="00D87FF3">
              <w:rPr>
                <w:b/>
                <w:color w:val="537FBB"/>
                <w:szCs w:val="22"/>
              </w:rPr>
              <w:t xml:space="preserve"> COVID-19 Micro-Business grant </w:t>
            </w:r>
            <w:r w:rsidRPr="00D87FF3">
              <w:rPr>
                <w:color w:val="537FBB"/>
                <w:szCs w:val="22"/>
              </w:rPr>
              <w:t>in NSW.</w:t>
            </w:r>
          </w:p>
        </w:tc>
      </w:tr>
      <w:tr w:rsidR="00A70F9C" w14:paraId="569815A1" w14:textId="77777777" w:rsidTr="00C41A1F">
        <w:tc>
          <w:tcPr>
            <w:tcW w:w="2552" w:type="dxa"/>
          </w:tcPr>
          <w:p w14:paraId="72B48277" w14:textId="77777777" w:rsidR="00A70F9C" w:rsidRPr="00837805" w:rsidRDefault="00A70F9C" w:rsidP="00C114FC">
            <w:pPr>
              <w:pStyle w:val="BodyText"/>
              <w:ind w:right="227"/>
              <w:jc w:val="right"/>
              <w:rPr>
                <w:b/>
                <w:color w:val="57AE93"/>
                <w:szCs w:val="22"/>
              </w:rPr>
            </w:pPr>
            <w:r w:rsidRPr="00837805">
              <w:rPr>
                <w:b/>
                <w:color w:val="57AE93"/>
                <w:szCs w:val="22"/>
              </w:rPr>
              <w:t>July 2021 –</w:t>
            </w:r>
          </w:p>
        </w:tc>
        <w:tc>
          <w:tcPr>
            <w:tcW w:w="7302" w:type="dxa"/>
          </w:tcPr>
          <w:p w14:paraId="11FDF476" w14:textId="0B293249" w:rsidR="00A70F9C" w:rsidRPr="00837805" w:rsidRDefault="00A70F9C" w:rsidP="00C114FC">
            <w:pPr>
              <w:pStyle w:val="BodyText"/>
              <w:ind w:right="227"/>
              <w:rPr>
                <w:b/>
                <w:color w:val="57AE93"/>
                <w:szCs w:val="22"/>
              </w:rPr>
            </w:pPr>
            <w:r w:rsidRPr="00837805">
              <w:rPr>
                <w:b/>
                <w:color w:val="57AE93"/>
                <w:szCs w:val="22"/>
              </w:rPr>
              <w:t xml:space="preserve">AOM Phase 5 Snapshot Report </w:t>
            </w:r>
            <w:r w:rsidRPr="00837805">
              <w:rPr>
                <w:color w:val="57AE93"/>
                <w:szCs w:val="22"/>
              </w:rPr>
              <w:t xml:space="preserve">shows half of audiences feel the risk of future lockdowns and cancellations is inhibiting their attendance. Yet, </w:t>
            </w:r>
            <w:r w:rsidRPr="00837805">
              <w:rPr>
                <w:b/>
                <w:color w:val="57AE93"/>
                <w:szCs w:val="22"/>
              </w:rPr>
              <w:t xml:space="preserve">audiences are committed to engaging with culture </w:t>
            </w:r>
            <w:r w:rsidRPr="00837805">
              <w:rPr>
                <w:color w:val="57AE93"/>
                <w:szCs w:val="22"/>
              </w:rPr>
              <w:t>and most are confident the vaccination roll out will help a return to normal.</w:t>
            </w:r>
            <w:r w:rsidR="0043398B">
              <w:rPr>
                <w:rFonts w:ascii="ZWAdobeF" w:hAnsi="ZWAdobeF" w:cs="ZWAdobeF"/>
                <w:sz w:val="2"/>
                <w:szCs w:val="2"/>
              </w:rPr>
              <w:t>17F</w:t>
            </w:r>
            <w:r w:rsidRPr="00837805">
              <w:rPr>
                <w:rStyle w:val="FootnoteReference"/>
                <w:color w:val="57AE93"/>
                <w:szCs w:val="22"/>
              </w:rPr>
              <w:footnoteReference w:id="19"/>
            </w:r>
          </w:p>
        </w:tc>
      </w:tr>
      <w:tr w:rsidR="00A70F9C" w14:paraId="477204AF" w14:textId="77777777" w:rsidTr="00C41A1F">
        <w:tc>
          <w:tcPr>
            <w:tcW w:w="2552" w:type="dxa"/>
          </w:tcPr>
          <w:p w14:paraId="23829543" w14:textId="77777777" w:rsidR="00A70F9C" w:rsidRPr="008A5D9A" w:rsidRDefault="00A70F9C" w:rsidP="00C114FC">
            <w:pPr>
              <w:pStyle w:val="BodyText"/>
              <w:ind w:right="227"/>
              <w:jc w:val="right"/>
              <w:rPr>
                <w:b/>
                <w:color w:val="A06FAD"/>
                <w:szCs w:val="22"/>
              </w:rPr>
            </w:pPr>
            <w:r w:rsidRPr="008A5D9A">
              <w:rPr>
                <w:b/>
                <w:color w:val="A06FAD"/>
                <w:szCs w:val="22"/>
              </w:rPr>
              <w:t xml:space="preserve">Early August 2021 – </w:t>
            </w:r>
          </w:p>
        </w:tc>
        <w:tc>
          <w:tcPr>
            <w:tcW w:w="7302" w:type="dxa"/>
          </w:tcPr>
          <w:p w14:paraId="63A4E1A9" w14:textId="77777777" w:rsidR="00A70F9C" w:rsidRPr="008A5D9A" w:rsidRDefault="00A70F9C" w:rsidP="00C114FC">
            <w:pPr>
              <w:pStyle w:val="BodyText"/>
              <w:ind w:right="227"/>
              <w:rPr>
                <w:b/>
                <w:color w:val="A06FAD"/>
                <w:szCs w:val="22"/>
              </w:rPr>
            </w:pPr>
            <w:r w:rsidRPr="008A5D9A">
              <w:rPr>
                <w:b/>
                <w:color w:val="A06FAD"/>
                <w:szCs w:val="22"/>
              </w:rPr>
              <w:t>Festivals and performing arts events are cancelled or postponed</w:t>
            </w:r>
            <w:r w:rsidRPr="008A5D9A">
              <w:rPr>
                <w:color w:val="A06FAD"/>
                <w:szCs w:val="22"/>
              </w:rPr>
              <w:t xml:space="preserve">, including Bluesfest, Sydney Fringe Festival, Vivid Sydney, West Set Festival in Victoria. </w:t>
            </w:r>
          </w:p>
        </w:tc>
      </w:tr>
      <w:tr w:rsidR="00A70F9C" w14:paraId="26144680" w14:textId="77777777" w:rsidTr="00C41A1F">
        <w:tc>
          <w:tcPr>
            <w:tcW w:w="2552" w:type="dxa"/>
          </w:tcPr>
          <w:p w14:paraId="7C2A83D0" w14:textId="77777777" w:rsidR="00A70F9C" w:rsidRPr="00DA3A91" w:rsidRDefault="00A70F9C" w:rsidP="00C114FC">
            <w:pPr>
              <w:pStyle w:val="BodyText"/>
              <w:ind w:right="227"/>
              <w:jc w:val="right"/>
              <w:rPr>
                <w:b/>
                <w:color w:val="7030A0"/>
                <w:szCs w:val="22"/>
              </w:rPr>
            </w:pPr>
            <w:r w:rsidRPr="00B0677E">
              <w:rPr>
                <w:b/>
                <w:szCs w:val="22"/>
              </w:rPr>
              <w:t>5 August 2021 –</w:t>
            </w:r>
          </w:p>
        </w:tc>
        <w:tc>
          <w:tcPr>
            <w:tcW w:w="7302" w:type="dxa"/>
          </w:tcPr>
          <w:p w14:paraId="060FC564" w14:textId="77777777" w:rsidR="00A70F9C" w:rsidRPr="00DA3A91" w:rsidRDefault="00A70F9C" w:rsidP="00C114FC">
            <w:pPr>
              <w:pStyle w:val="BodyText"/>
              <w:ind w:right="227"/>
              <w:rPr>
                <w:b/>
                <w:color w:val="7030A0"/>
                <w:szCs w:val="22"/>
              </w:rPr>
            </w:pPr>
            <w:r w:rsidRPr="00B0677E">
              <w:rPr>
                <w:b/>
                <w:szCs w:val="22"/>
              </w:rPr>
              <w:t>Victoria</w:t>
            </w:r>
            <w:r w:rsidRPr="00B0677E">
              <w:rPr>
                <w:szCs w:val="22"/>
              </w:rPr>
              <w:t xml:space="preserve"> enters its sixth lockdown. </w:t>
            </w:r>
          </w:p>
        </w:tc>
      </w:tr>
      <w:tr w:rsidR="00A70F9C" w14:paraId="73A53F1B" w14:textId="77777777" w:rsidTr="00C41A1F">
        <w:tc>
          <w:tcPr>
            <w:tcW w:w="2552" w:type="dxa"/>
          </w:tcPr>
          <w:p w14:paraId="72E166AD" w14:textId="77777777" w:rsidR="00A70F9C" w:rsidRPr="00B0677E" w:rsidRDefault="00A70F9C" w:rsidP="00C114FC">
            <w:pPr>
              <w:pStyle w:val="BodyText"/>
              <w:ind w:right="227"/>
              <w:jc w:val="right"/>
              <w:rPr>
                <w:b/>
                <w:szCs w:val="22"/>
              </w:rPr>
            </w:pPr>
            <w:r w:rsidRPr="00B0677E">
              <w:rPr>
                <w:b/>
                <w:szCs w:val="22"/>
              </w:rPr>
              <w:t>11 October 2021 –</w:t>
            </w:r>
          </w:p>
        </w:tc>
        <w:tc>
          <w:tcPr>
            <w:tcW w:w="7302" w:type="dxa"/>
          </w:tcPr>
          <w:p w14:paraId="4C2CF44E" w14:textId="77777777" w:rsidR="00A70F9C" w:rsidRPr="00B0677E" w:rsidRDefault="00A70F9C" w:rsidP="00C114FC">
            <w:pPr>
              <w:pStyle w:val="BodyText"/>
              <w:ind w:right="227"/>
              <w:rPr>
                <w:szCs w:val="22"/>
              </w:rPr>
            </w:pPr>
            <w:r w:rsidRPr="00B0677E">
              <w:rPr>
                <w:szCs w:val="22"/>
              </w:rPr>
              <w:t xml:space="preserve">Restrictions begin easing in </w:t>
            </w:r>
            <w:r w:rsidRPr="00B0677E">
              <w:rPr>
                <w:b/>
                <w:szCs w:val="22"/>
              </w:rPr>
              <w:t xml:space="preserve">NSW </w:t>
            </w:r>
            <w:r w:rsidRPr="00B0677E">
              <w:rPr>
                <w:szCs w:val="22"/>
              </w:rPr>
              <w:t>for people who are vaccinated.</w:t>
            </w:r>
          </w:p>
        </w:tc>
      </w:tr>
      <w:tr w:rsidR="00A70F9C" w14:paraId="38F0184E" w14:textId="77777777" w:rsidTr="00C41A1F">
        <w:tc>
          <w:tcPr>
            <w:tcW w:w="2552" w:type="dxa"/>
          </w:tcPr>
          <w:p w14:paraId="2572E8CB" w14:textId="77777777" w:rsidR="00A70F9C" w:rsidRPr="00B0677E" w:rsidRDefault="00A70F9C" w:rsidP="00C114FC">
            <w:pPr>
              <w:pStyle w:val="BodyText"/>
              <w:ind w:right="227"/>
              <w:jc w:val="right"/>
              <w:rPr>
                <w:b/>
                <w:szCs w:val="22"/>
              </w:rPr>
            </w:pPr>
            <w:r w:rsidRPr="00B0677E">
              <w:rPr>
                <w:b/>
                <w:szCs w:val="22"/>
              </w:rPr>
              <w:t>19 October 2021 –</w:t>
            </w:r>
          </w:p>
        </w:tc>
        <w:tc>
          <w:tcPr>
            <w:tcW w:w="7302" w:type="dxa"/>
          </w:tcPr>
          <w:p w14:paraId="4459827F" w14:textId="77777777" w:rsidR="00A70F9C" w:rsidRPr="00B0677E" w:rsidRDefault="00A70F9C" w:rsidP="00C114FC">
            <w:pPr>
              <w:pStyle w:val="BodyText"/>
              <w:ind w:right="227"/>
              <w:rPr>
                <w:b/>
                <w:szCs w:val="22"/>
              </w:rPr>
            </w:pPr>
            <w:r w:rsidRPr="00B0677E">
              <w:rPr>
                <w:szCs w:val="22"/>
              </w:rPr>
              <w:t>Restrictions begin easing in</w:t>
            </w:r>
            <w:r w:rsidRPr="00B0677E">
              <w:rPr>
                <w:b/>
                <w:szCs w:val="22"/>
              </w:rPr>
              <w:t xml:space="preserve"> Victoria</w:t>
            </w:r>
            <w:r w:rsidRPr="00DA3A91">
              <w:rPr>
                <w:szCs w:val="22"/>
              </w:rPr>
              <w:t xml:space="preserve">. </w:t>
            </w:r>
          </w:p>
        </w:tc>
      </w:tr>
      <w:tr w:rsidR="00A70F9C" w14:paraId="2E2BBD8C" w14:textId="77777777" w:rsidTr="00C41A1F">
        <w:tc>
          <w:tcPr>
            <w:tcW w:w="2552" w:type="dxa"/>
          </w:tcPr>
          <w:p w14:paraId="6DE13DD4" w14:textId="77777777" w:rsidR="00A70F9C" w:rsidRPr="00B0677E" w:rsidRDefault="00A70F9C" w:rsidP="00C114FC">
            <w:pPr>
              <w:pStyle w:val="BodyText"/>
              <w:ind w:right="227"/>
              <w:jc w:val="right"/>
              <w:rPr>
                <w:b/>
                <w:szCs w:val="22"/>
              </w:rPr>
            </w:pPr>
            <w:r w:rsidRPr="00B0677E">
              <w:rPr>
                <w:b/>
                <w:szCs w:val="22"/>
              </w:rPr>
              <w:t xml:space="preserve">28 November 2021 – </w:t>
            </w:r>
          </w:p>
        </w:tc>
        <w:tc>
          <w:tcPr>
            <w:tcW w:w="7302" w:type="dxa"/>
          </w:tcPr>
          <w:p w14:paraId="750DD184" w14:textId="77777777" w:rsidR="00A70F9C" w:rsidRPr="00B0677E" w:rsidRDefault="00A70F9C" w:rsidP="00C114FC">
            <w:pPr>
              <w:pStyle w:val="BodyText"/>
              <w:ind w:right="227"/>
              <w:rPr>
                <w:szCs w:val="22"/>
              </w:rPr>
            </w:pPr>
            <w:r w:rsidRPr="00B0677E">
              <w:rPr>
                <w:szCs w:val="22"/>
              </w:rPr>
              <w:t xml:space="preserve">The first case of </w:t>
            </w:r>
            <w:r w:rsidRPr="00B0677E">
              <w:rPr>
                <w:b/>
                <w:szCs w:val="22"/>
              </w:rPr>
              <w:t>Omicron variant</w:t>
            </w:r>
            <w:r w:rsidRPr="00B0677E">
              <w:rPr>
                <w:szCs w:val="22"/>
              </w:rPr>
              <w:t xml:space="preserve"> is detected in Australia. This surge signals a new stage of the pandemic, with daily case </w:t>
            </w:r>
            <w:r w:rsidRPr="00B0677E">
              <w:rPr>
                <w:b/>
                <w:szCs w:val="22"/>
              </w:rPr>
              <w:t>numbers skyrocketing in most states and territories</w:t>
            </w:r>
            <w:r w:rsidRPr="00B0677E">
              <w:rPr>
                <w:szCs w:val="22"/>
              </w:rPr>
              <w:t xml:space="preserve">. </w:t>
            </w:r>
          </w:p>
        </w:tc>
      </w:tr>
      <w:tr w:rsidR="00A70F9C" w14:paraId="723085FB" w14:textId="77777777" w:rsidTr="00C41A1F">
        <w:tc>
          <w:tcPr>
            <w:tcW w:w="2552" w:type="dxa"/>
          </w:tcPr>
          <w:p w14:paraId="5F1382CB" w14:textId="77777777" w:rsidR="00A70F9C" w:rsidRPr="00837805" w:rsidRDefault="00A70F9C" w:rsidP="00C114FC">
            <w:pPr>
              <w:pStyle w:val="BodyText"/>
              <w:ind w:right="227"/>
              <w:jc w:val="right"/>
              <w:rPr>
                <w:b/>
                <w:color w:val="57AE93"/>
                <w:szCs w:val="22"/>
              </w:rPr>
            </w:pPr>
            <w:r w:rsidRPr="00837805">
              <w:rPr>
                <w:b/>
                <w:color w:val="57AE93"/>
                <w:szCs w:val="22"/>
              </w:rPr>
              <w:lastRenderedPageBreak/>
              <w:t>November 2021 –</w:t>
            </w:r>
          </w:p>
        </w:tc>
        <w:tc>
          <w:tcPr>
            <w:tcW w:w="7302" w:type="dxa"/>
          </w:tcPr>
          <w:p w14:paraId="0A8D84E9" w14:textId="467ADE2E" w:rsidR="00A70F9C" w:rsidRPr="00837805" w:rsidRDefault="00A70F9C" w:rsidP="00C114FC">
            <w:pPr>
              <w:pStyle w:val="BodyText"/>
              <w:ind w:right="227"/>
              <w:rPr>
                <w:color w:val="57AE93"/>
                <w:szCs w:val="22"/>
              </w:rPr>
            </w:pPr>
            <w:r w:rsidRPr="00837805">
              <w:rPr>
                <w:b/>
                <w:color w:val="57AE93"/>
                <w:szCs w:val="22"/>
              </w:rPr>
              <w:t xml:space="preserve">AOM Phase 6 Snapshot Report </w:t>
            </w:r>
            <w:r w:rsidRPr="00837805">
              <w:rPr>
                <w:color w:val="57AE93"/>
                <w:szCs w:val="22"/>
              </w:rPr>
              <w:t>shows audiences are less likely to be inhibited from attending cultural events by the risk of lockdowns and more likely to be concerned with risks of transmission or being a close contact.</w:t>
            </w:r>
            <w:r w:rsidR="0043398B">
              <w:rPr>
                <w:rFonts w:ascii="ZWAdobeF" w:hAnsi="ZWAdobeF" w:cs="ZWAdobeF"/>
                <w:sz w:val="2"/>
                <w:szCs w:val="2"/>
              </w:rPr>
              <w:t>18F</w:t>
            </w:r>
            <w:r w:rsidRPr="00837805">
              <w:rPr>
                <w:rStyle w:val="FootnoteReference"/>
                <w:color w:val="57AE93"/>
                <w:szCs w:val="22"/>
              </w:rPr>
              <w:footnoteReference w:id="20"/>
            </w:r>
            <w:r w:rsidRPr="00837805">
              <w:rPr>
                <w:color w:val="57AE93"/>
                <w:szCs w:val="22"/>
              </w:rPr>
              <w:t xml:space="preserve"> </w:t>
            </w:r>
          </w:p>
        </w:tc>
      </w:tr>
      <w:tr w:rsidR="00A70F9C" w14:paraId="508A8D5B" w14:textId="77777777" w:rsidTr="00C41A1F">
        <w:tc>
          <w:tcPr>
            <w:tcW w:w="2552" w:type="dxa"/>
          </w:tcPr>
          <w:p w14:paraId="4A90D5E2" w14:textId="77777777" w:rsidR="00A70F9C" w:rsidRPr="00D87FF3" w:rsidRDefault="00A70F9C" w:rsidP="00C114FC">
            <w:pPr>
              <w:pStyle w:val="BodyText"/>
              <w:ind w:right="227"/>
              <w:jc w:val="right"/>
              <w:rPr>
                <w:b/>
                <w:color w:val="C76921"/>
                <w:szCs w:val="22"/>
              </w:rPr>
            </w:pPr>
            <w:r w:rsidRPr="00D87FF3">
              <w:rPr>
                <w:b/>
                <w:color w:val="C76921"/>
                <w:szCs w:val="22"/>
              </w:rPr>
              <w:t>13 December 2021</w:t>
            </w:r>
          </w:p>
        </w:tc>
        <w:tc>
          <w:tcPr>
            <w:tcW w:w="7302" w:type="dxa"/>
          </w:tcPr>
          <w:p w14:paraId="316A27ED" w14:textId="72AA655F" w:rsidR="00A70F9C" w:rsidRPr="00D87FF3" w:rsidRDefault="00A70F9C" w:rsidP="00C114FC">
            <w:pPr>
              <w:pStyle w:val="BodyText"/>
              <w:ind w:right="227"/>
              <w:rPr>
                <w:color w:val="C76921"/>
                <w:szCs w:val="22"/>
              </w:rPr>
            </w:pPr>
            <w:r w:rsidRPr="00D87FF3">
              <w:rPr>
                <w:color w:val="C76921"/>
                <w:szCs w:val="22"/>
              </w:rPr>
              <w:t>New research is published highlighting the devastating impacts of COVID-19 on artists’ mental health.</w:t>
            </w:r>
            <w:r w:rsidR="0043398B">
              <w:rPr>
                <w:rFonts w:ascii="ZWAdobeF" w:hAnsi="ZWAdobeF" w:cs="ZWAdobeF"/>
                <w:sz w:val="2"/>
                <w:szCs w:val="2"/>
              </w:rPr>
              <w:t>19F</w:t>
            </w:r>
            <w:r w:rsidRPr="00D87FF3">
              <w:rPr>
                <w:rStyle w:val="FootnoteReference"/>
                <w:color w:val="C76921"/>
                <w:szCs w:val="22"/>
              </w:rPr>
              <w:footnoteReference w:id="21"/>
            </w:r>
          </w:p>
        </w:tc>
      </w:tr>
      <w:tr w:rsidR="00A70F9C" w14:paraId="0443E441" w14:textId="77777777" w:rsidTr="00C41A1F">
        <w:tc>
          <w:tcPr>
            <w:tcW w:w="2552" w:type="dxa"/>
          </w:tcPr>
          <w:p w14:paraId="6E5DC93A" w14:textId="77777777" w:rsidR="00A70F9C" w:rsidRPr="00B0677E" w:rsidRDefault="00A70F9C" w:rsidP="00C114FC">
            <w:pPr>
              <w:pStyle w:val="BodyText"/>
              <w:ind w:right="227"/>
              <w:jc w:val="right"/>
              <w:rPr>
                <w:b/>
                <w:szCs w:val="22"/>
              </w:rPr>
            </w:pPr>
            <w:r w:rsidRPr="00B0677E">
              <w:rPr>
                <w:b/>
                <w:szCs w:val="22"/>
              </w:rPr>
              <w:t>15 December 2021 –</w:t>
            </w:r>
          </w:p>
        </w:tc>
        <w:tc>
          <w:tcPr>
            <w:tcW w:w="7302" w:type="dxa"/>
          </w:tcPr>
          <w:p w14:paraId="1EFDA8DD" w14:textId="77777777" w:rsidR="00A70F9C" w:rsidRPr="00B0677E" w:rsidRDefault="00A70F9C" w:rsidP="00C114FC">
            <w:pPr>
              <w:pStyle w:val="BodyText"/>
              <w:ind w:right="227"/>
              <w:rPr>
                <w:szCs w:val="22"/>
              </w:rPr>
            </w:pPr>
            <w:r w:rsidRPr="00B0677E">
              <w:rPr>
                <w:szCs w:val="22"/>
              </w:rPr>
              <w:t xml:space="preserve">The </w:t>
            </w:r>
            <w:r w:rsidRPr="006010C3">
              <w:rPr>
                <w:b/>
                <w:bCs/>
                <w:szCs w:val="22"/>
              </w:rPr>
              <w:t>NSW G</w:t>
            </w:r>
            <w:r w:rsidRPr="00DA3A91">
              <w:rPr>
                <w:b/>
                <w:szCs w:val="22"/>
              </w:rPr>
              <w:t>overnment</w:t>
            </w:r>
            <w:r w:rsidRPr="00B0677E">
              <w:rPr>
                <w:b/>
                <w:szCs w:val="22"/>
              </w:rPr>
              <w:t xml:space="preserve"> lifts most public health restrictions</w:t>
            </w:r>
            <w:r w:rsidRPr="00B0677E">
              <w:rPr>
                <w:szCs w:val="22"/>
              </w:rPr>
              <w:t xml:space="preserve"> after vaccinating 90% of the population</w:t>
            </w:r>
            <w:r>
              <w:rPr>
                <w:szCs w:val="22"/>
              </w:rPr>
              <w:t>.</w:t>
            </w:r>
            <w:r w:rsidRPr="00DA3A91">
              <w:rPr>
                <w:szCs w:val="22"/>
              </w:rPr>
              <w:t xml:space="preserve"> </w:t>
            </w:r>
            <w:r>
              <w:rPr>
                <w:szCs w:val="22"/>
              </w:rPr>
              <w:t>M</w:t>
            </w:r>
            <w:r w:rsidRPr="00DA3A91">
              <w:rPr>
                <w:szCs w:val="22"/>
              </w:rPr>
              <w:t>ost</w:t>
            </w:r>
            <w:r w:rsidRPr="00B0677E">
              <w:rPr>
                <w:szCs w:val="22"/>
              </w:rPr>
              <w:t xml:space="preserve"> states and territories </w:t>
            </w:r>
            <w:r w:rsidRPr="00DA3A91">
              <w:rPr>
                <w:szCs w:val="22"/>
              </w:rPr>
              <w:t>(except for WA)</w:t>
            </w:r>
            <w:r>
              <w:rPr>
                <w:szCs w:val="22"/>
              </w:rPr>
              <w:t xml:space="preserve"> </w:t>
            </w:r>
            <w:r w:rsidRPr="00DA3A91">
              <w:rPr>
                <w:szCs w:val="22"/>
              </w:rPr>
              <w:t>open</w:t>
            </w:r>
            <w:r w:rsidRPr="00B0677E">
              <w:rPr>
                <w:szCs w:val="22"/>
              </w:rPr>
              <w:t xml:space="preserve"> their borders</w:t>
            </w:r>
            <w:r>
              <w:rPr>
                <w:szCs w:val="22"/>
              </w:rPr>
              <w:t>.</w:t>
            </w:r>
            <w:r w:rsidRPr="00B0677E">
              <w:rPr>
                <w:szCs w:val="22"/>
              </w:rPr>
              <w:t xml:space="preserve"> </w:t>
            </w:r>
          </w:p>
        </w:tc>
      </w:tr>
      <w:tr w:rsidR="00A70F9C" w14:paraId="5B15B0CB" w14:textId="77777777" w:rsidTr="00C41A1F">
        <w:tc>
          <w:tcPr>
            <w:tcW w:w="2552" w:type="dxa"/>
          </w:tcPr>
          <w:p w14:paraId="3B984D68" w14:textId="77777777" w:rsidR="00A70F9C" w:rsidRPr="008A5D9A" w:rsidRDefault="00A70F9C" w:rsidP="00C114FC">
            <w:pPr>
              <w:pStyle w:val="BodyText"/>
              <w:ind w:right="227"/>
              <w:jc w:val="right"/>
              <w:rPr>
                <w:b/>
                <w:color w:val="A06FAD"/>
                <w:szCs w:val="22"/>
              </w:rPr>
            </w:pPr>
            <w:r w:rsidRPr="008A5D9A">
              <w:rPr>
                <w:b/>
                <w:color w:val="A06FAD"/>
                <w:szCs w:val="22"/>
              </w:rPr>
              <w:t>16 December 2021 –</w:t>
            </w:r>
          </w:p>
        </w:tc>
        <w:tc>
          <w:tcPr>
            <w:tcW w:w="7302" w:type="dxa"/>
          </w:tcPr>
          <w:p w14:paraId="5CDE66AC" w14:textId="0DFFE57A" w:rsidR="00A70F9C" w:rsidRPr="008A5D9A" w:rsidRDefault="00A70F9C" w:rsidP="00C114FC">
            <w:pPr>
              <w:pStyle w:val="BodyText"/>
              <w:ind w:right="227"/>
              <w:rPr>
                <w:color w:val="A06FAD"/>
                <w:szCs w:val="22"/>
              </w:rPr>
            </w:pPr>
            <w:r w:rsidRPr="008A5D9A">
              <w:rPr>
                <w:color w:val="A06FAD"/>
                <w:szCs w:val="22"/>
              </w:rPr>
              <w:t xml:space="preserve">Due to the </w:t>
            </w:r>
            <w:r w:rsidRPr="008A5D9A">
              <w:rPr>
                <w:b/>
                <w:color w:val="A06FAD"/>
                <w:szCs w:val="22"/>
              </w:rPr>
              <w:t>rising cases of Omicron</w:t>
            </w:r>
            <w:r w:rsidRPr="008A5D9A">
              <w:rPr>
                <w:color w:val="A06FAD"/>
                <w:szCs w:val="22"/>
              </w:rPr>
              <w:t>, OzTix reveals</w:t>
            </w:r>
            <w:r w:rsidRPr="008A5D9A">
              <w:rPr>
                <w:b/>
                <w:color w:val="A06FAD"/>
                <w:szCs w:val="22"/>
              </w:rPr>
              <w:t xml:space="preserve"> </w:t>
            </w:r>
            <w:r w:rsidRPr="008A5D9A">
              <w:rPr>
                <w:color w:val="A06FAD"/>
                <w:szCs w:val="22"/>
              </w:rPr>
              <w:t xml:space="preserve">over </w:t>
            </w:r>
            <w:r w:rsidRPr="008A5D9A">
              <w:rPr>
                <w:b/>
                <w:color w:val="A06FAD"/>
                <w:szCs w:val="22"/>
              </w:rPr>
              <w:t>300 events have been rescheduled, postponed or cancelled</w:t>
            </w:r>
            <w:r w:rsidRPr="008A5D9A">
              <w:rPr>
                <w:color w:val="A06FAD"/>
                <w:szCs w:val="22"/>
              </w:rPr>
              <w:t xml:space="preserve"> over the Christmas period.</w:t>
            </w:r>
            <w:r w:rsidR="0043398B">
              <w:rPr>
                <w:rFonts w:ascii="ZWAdobeF" w:hAnsi="ZWAdobeF" w:cs="ZWAdobeF"/>
                <w:sz w:val="2"/>
                <w:szCs w:val="2"/>
              </w:rPr>
              <w:t>20F</w:t>
            </w:r>
            <w:r w:rsidRPr="008A5D9A">
              <w:rPr>
                <w:rStyle w:val="FootnoteReference"/>
                <w:color w:val="A06FAD"/>
                <w:szCs w:val="22"/>
              </w:rPr>
              <w:footnoteReference w:id="22"/>
            </w:r>
          </w:p>
        </w:tc>
      </w:tr>
      <w:tr w:rsidR="00A70F9C" w14:paraId="0D09D1EA" w14:textId="77777777" w:rsidTr="00C41A1F">
        <w:tc>
          <w:tcPr>
            <w:tcW w:w="2552" w:type="dxa"/>
          </w:tcPr>
          <w:p w14:paraId="6A2C538E" w14:textId="77777777" w:rsidR="00A70F9C" w:rsidRPr="00B0677E" w:rsidRDefault="00A70F9C" w:rsidP="00C114FC">
            <w:pPr>
              <w:pStyle w:val="BodyText"/>
              <w:ind w:right="227"/>
              <w:jc w:val="right"/>
              <w:rPr>
                <w:b/>
                <w:szCs w:val="22"/>
              </w:rPr>
            </w:pPr>
            <w:r w:rsidRPr="00B0677E">
              <w:rPr>
                <w:b/>
                <w:szCs w:val="22"/>
              </w:rPr>
              <w:t>10 January 2022 –</w:t>
            </w:r>
          </w:p>
        </w:tc>
        <w:tc>
          <w:tcPr>
            <w:tcW w:w="7302" w:type="dxa"/>
          </w:tcPr>
          <w:p w14:paraId="418E596F" w14:textId="77777777" w:rsidR="00A70F9C" w:rsidRPr="00B0677E" w:rsidRDefault="00A70F9C" w:rsidP="00C114FC">
            <w:pPr>
              <w:pStyle w:val="BodyText"/>
              <w:ind w:right="227"/>
              <w:rPr>
                <w:szCs w:val="22"/>
              </w:rPr>
            </w:pPr>
            <w:r w:rsidRPr="00B0677E">
              <w:rPr>
                <w:szCs w:val="22"/>
              </w:rPr>
              <w:t xml:space="preserve">The reported total number of </w:t>
            </w:r>
            <w:r w:rsidRPr="00B0677E">
              <w:rPr>
                <w:b/>
                <w:szCs w:val="22"/>
              </w:rPr>
              <w:t>COVID-19 cases</w:t>
            </w:r>
            <w:r w:rsidRPr="00B0677E">
              <w:rPr>
                <w:szCs w:val="22"/>
              </w:rPr>
              <w:t xml:space="preserve"> in Australia surpasses </w:t>
            </w:r>
            <w:r w:rsidRPr="00B0677E">
              <w:rPr>
                <w:b/>
                <w:szCs w:val="22"/>
              </w:rPr>
              <w:t>one million.</w:t>
            </w:r>
          </w:p>
        </w:tc>
      </w:tr>
      <w:tr w:rsidR="00A70F9C" w:rsidRPr="001F3F2F" w14:paraId="41604373" w14:textId="77777777" w:rsidTr="00C41A1F">
        <w:tc>
          <w:tcPr>
            <w:tcW w:w="2552" w:type="dxa"/>
          </w:tcPr>
          <w:p w14:paraId="4CC6C8A3" w14:textId="77777777" w:rsidR="00A70F9C" w:rsidRPr="008C24F7" w:rsidRDefault="00A70F9C" w:rsidP="00C114FC">
            <w:pPr>
              <w:pStyle w:val="BodyText"/>
              <w:ind w:right="227"/>
              <w:jc w:val="right"/>
              <w:rPr>
                <w:b/>
                <w:color w:val="C76B97"/>
                <w:szCs w:val="22"/>
              </w:rPr>
            </w:pPr>
            <w:r w:rsidRPr="008C24F7">
              <w:rPr>
                <w:b/>
                <w:color w:val="C76B97"/>
                <w:szCs w:val="22"/>
              </w:rPr>
              <w:t>31 January 2022 –</w:t>
            </w:r>
          </w:p>
        </w:tc>
        <w:tc>
          <w:tcPr>
            <w:tcW w:w="7302" w:type="dxa"/>
          </w:tcPr>
          <w:p w14:paraId="010BEBC3" w14:textId="2D132574" w:rsidR="00A70F9C" w:rsidRPr="008C24F7" w:rsidRDefault="00A70F9C" w:rsidP="00C114FC">
            <w:pPr>
              <w:pStyle w:val="BodyText"/>
              <w:ind w:right="227"/>
              <w:rPr>
                <w:color w:val="C76B97"/>
                <w:szCs w:val="22"/>
              </w:rPr>
            </w:pPr>
            <w:r w:rsidRPr="008C24F7">
              <w:rPr>
                <w:color w:val="C76B97"/>
                <w:szCs w:val="22"/>
              </w:rPr>
              <w:t xml:space="preserve">ABS data shows over </w:t>
            </w:r>
            <w:r w:rsidRPr="008C24F7">
              <w:rPr>
                <w:b/>
                <w:color w:val="C76B97"/>
                <w:szCs w:val="22"/>
              </w:rPr>
              <w:t>half of arts and recreation business reported that the current cash on hand is lower</w:t>
            </w:r>
            <w:r w:rsidRPr="008C24F7">
              <w:rPr>
                <w:color w:val="C76B97"/>
                <w:szCs w:val="22"/>
              </w:rPr>
              <w:t xml:space="preserve"> compared to what is usual for this time of year.</w:t>
            </w:r>
            <w:r w:rsidRPr="008C24F7">
              <w:rPr>
                <w:rStyle w:val="FootnoteReference"/>
                <w:color w:val="C76B97"/>
                <w:szCs w:val="22"/>
              </w:rPr>
              <w:t xml:space="preserve"> </w:t>
            </w:r>
            <w:r w:rsidR="0043398B">
              <w:rPr>
                <w:rFonts w:ascii="ZWAdobeF" w:hAnsi="ZWAdobeF" w:cs="ZWAdobeF"/>
                <w:sz w:val="2"/>
                <w:szCs w:val="2"/>
              </w:rPr>
              <w:t>21F</w:t>
            </w:r>
            <w:r w:rsidRPr="008C24F7">
              <w:rPr>
                <w:rStyle w:val="FootnoteReference"/>
                <w:color w:val="C76B97"/>
                <w:szCs w:val="22"/>
              </w:rPr>
              <w:footnoteReference w:id="23"/>
            </w:r>
            <w:r w:rsidRPr="008C24F7">
              <w:rPr>
                <w:color w:val="C76B97"/>
                <w:szCs w:val="22"/>
              </w:rPr>
              <w:t xml:space="preserve"> </w:t>
            </w:r>
          </w:p>
        </w:tc>
      </w:tr>
      <w:tr w:rsidR="00A70F9C" w:rsidRPr="001F3F2F" w14:paraId="5F13E31A" w14:textId="77777777" w:rsidTr="00C41A1F">
        <w:tc>
          <w:tcPr>
            <w:tcW w:w="2552" w:type="dxa"/>
          </w:tcPr>
          <w:p w14:paraId="250861AE" w14:textId="77777777" w:rsidR="00A70F9C" w:rsidRPr="001F3F2F" w:rsidRDefault="00A70F9C" w:rsidP="00C114FC">
            <w:pPr>
              <w:pStyle w:val="BodyText"/>
              <w:ind w:right="227"/>
              <w:jc w:val="right"/>
              <w:rPr>
                <w:b/>
                <w:iCs/>
                <w:szCs w:val="22"/>
              </w:rPr>
            </w:pPr>
            <w:r w:rsidRPr="001F3F2F">
              <w:rPr>
                <w:b/>
                <w:iCs/>
                <w:szCs w:val="22"/>
              </w:rPr>
              <w:t xml:space="preserve">21 February 2022 </w:t>
            </w:r>
            <w:r w:rsidRPr="001F3F2F">
              <w:rPr>
                <w:b/>
                <w:szCs w:val="22"/>
              </w:rPr>
              <w:t>–</w:t>
            </w:r>
            <w:r w:rsidRPr="001F3F2F">
              <w:rPr>
                <w:b/>
                <w:iCs/>
                <w:szCs w:val="22"/>
              </w:rPr>
              <w:t xml:space="preserve"> </w:t>
            </w:r>
          </w:p>
        </w:tc>
        <w:tc>
          <w:tcPr>
            <w:tcW w:w="7302" w:type="dxa"/>
          </w:tcPr>
          <w:p w14:paraId="4D98196A" w14:textId="77777777" w:rsidR="00A70F9C" w:rsidRPr="001F3F2F" w:rsidRDefault="00A70F9C" w:rsidP="00C114FC">
            <w:pPr>
              <w:pStyle w:val="BodyText"/>
              <w:ind w:right="227"/>
              <w:rPr>
                <w:iCs/>
                <w:szCs w:val="22"/>
              </w:rPr>
            </w:pPr>
            <w:r w:rsidRPr="001F3F2F">
              <w:rPr>
                <w:b/>
                <w:bCs/>
                <w:iCs/>
                <w:szCs w:val="22"/>
              </w:rPr>
              <w:t>Australia opens its borders</w:t>
            </w:r>
            <w:r w:rsidRPr="001F3F2F">
              <w:rPr>
                <w:iCs/>
                <w:szCs w:val="22"/>
              </w:rPr>
              <w:t xml:space="preserve"> to fully vaccinated visa holders, welcoming the return of tourists, business travellers, and other visitors.</w:t>
            </w:r>
          </w:p>
        </w:tc>
      </w:tr>
      <w:tr w:rsidR="00A70F9C" w:rsidRPr="001F3F2F" w14:paraId="731F1A64" w14:textId="77777777" w:rsidTr="00C41A1F">
        <w:tc>
          <w:tcPr>
            <w:tcW w:w="2552" w:type="dxa"/>
          </w:tcPr>
          <w:p w14:paraId="18FC565B" w14:textId="77777777" w:rsidR="00A70F9C" w:rsidRPr="001F3F2F" w:rsidRDefault="00A70F9C" w:rsidP="00C114FC">
            <w:pPr>
              <w:pStyle w:val="BodyText"/>
              <w:ind w:right="227"/>
              <w:jc w:val="right"/>
              <w:rPr>
                <w:b/>
                <w:iCs/>
                <w:szCs w:val="22"/>
              </w:rPr>
            </w:pPr>
            <w:r w:rsidRPr="00A67FE1">
              <w:rPr>
                <w:b/>
                <w:bCs/>
                <w:szCs w:val="22"/>
              </w:rPr>
              <w:t xml:space="preserve">3 March 2022 </w:t>
            </w:r>
            <w:r w:rsidRPr="001F3F2F">
              <w:rPr>
                <w:b/>
                <w:szCs w:val="22"/>
              </w:rPr>
              <w:t>–</w:t>
            </w:r>
          </w:p>
        </w:tc>
        <w:tc>
          <w:tcPr>
            <w:tcW w:w="7302" w:type="dxa"/>
          </w:tcPr>
          <w:p w14:paraId="2389A8D8" w14:textId="77777777" w:rsidR="00A70F9C" w:rsidRPr="001F3F2F" w:rsidRDefault="00A70F9C" w:rsidP="00C114FC">
            <w:pPr>
              <w:pStyle w:val="BodyText"/>
              <w:ind w:right="227"/>
              <w:rPr>
                <w:iCs/>
                <w:szCs w:val="22"/>
              </w:rPr>
            </w:pPr>
            <w:r w:rsidRPr="001F3F2F">
              <w:rPr>
                <w:b/>
                <w:bCs/>
                <w:szCs w:val="22"/>
              </w:rPr>
              <w:t>Western Australia opens its borders</w:t>
            </w:r>
            <w:r w:rsidRPr="00A67FE1">
              <w:rPr>
                <w:szCs w:val="22"/>
              </w:rPr>
              <w:t xml:space="preserve"> to domestic and international visitors</w:t>
            </w:r>
            <w:r>
              <w:rPr>
                <w:szCs w:val="22"/>
              </w:rPr>
              <w:t>.</w:t>
            </w:r>
          </w:p>
        </w:tc>
      </w:tr>
      <w:tr w:rsidR="00A70F9C" w:rsidRPr="001F3F2F" w14:paraId="304DAE8B" w14:textId="77777777" w:rsidTr="00C41A1F">
        <w:tc>
          <w:tcPr>
            <w:tcW w:w="2552" w:type="dxa"/>
          </w:tcPr>
          <w:p w14:paraId="0B4469D0" w14:textId="77777777" w:rsidR="00A70F9C" w:rsidRPr="00837805" w:rsidRDefault="00A70F9C" w:rsidP="00C114FC">
            <w:pPr>
              <w:pStyle w:val="BodyText"/>
              <w:ind w:right="227"/>
              <w:jc w:val="right"/>
              <w:rPr>
                <w:b/>
                <w:bCs/>
                <w:color w:val="57AE93"/>
                <w:szCs w:val="22"/>
              </w:rPr>
            </w:pPr>
            <w:r w:rsidRPr="00837805">
              <w:rPr>
                <w:b/>
                <w:bCs/>
                <w:color w:val="57AE93"/>
                <w:szCs w:val="22"/>
              </w:rPr>
              <w:t xml:space="preserve">March 2022 – </w:t>
            </w:r>
          </w:p>
        </w:tc>
        <w:tc>
          <w:tcPr>
            <w:tcW w:w="7302" w:type="dxa"/>
          </w:tcPr>
          <w:p w14:paraId="5A9C1139" w14:textId="5290AC74" w:rsidR="00A70F9C" w:rsidRPr="00837805" w:rsidRDefault="00A70F9C" w:rsidP="00C114FC">
            <w:pPr>
              <w:pStyle w:val="BodyText"/>
              <w:ind w:right="227"/>
              <w:rPr>
                <w:b/>
                <w:bCs/>
                <w:color w:val="57AE93"/>
                <w:szCs w:val="22"/>
              </w:rPr>
            </w:pPr>
            <w:r w:rsidRPr="00837805">
              <w:rPr>
                <w:b/>
                <w:color w:val="57AE93"/>
                <w:szCs w:val="22"/>
              </w:rPr>
              <w:t xml:space="preserve">AOM Phase 7 Snapshot Report </w:t>
            </w:r>
            <w:r w:rsidRPr="00837805">
              <w:rPr>
                <w:color w:val="57AE93"/>
                <w:szCs w:val="22"/>
              </w:rPr>
              <w:t xml:space="preserve">shows </w:t>
            </w:r>
            <w:r w:rsidRPr="00837805">
              <w:rPr>
                <w:b/>
                <w:color w:val="57AE93"/>
                <w:szCs w:val="22"/>
              </w:rPr>
              <w:t>most audiences are back at cultural events</w:t>
            </w:r>
            <w:r w:rsidRPr="00837805">
              <w:rPr>
                <w:color w:val="57AE93"/>
                <w:szCs w:val="22"/>
              </w:rPr>
              <w:t>, but half are still concerned about risks.</w:t>
            </w:r>
            <w:r w:rsidR="0043398B">
              <w:rPr>
                <w:rFonts w:ascii="ZWAdobeF" w:hAnsi="ZWAdobeF" w:cs="ZWAdobeF"/>
                <w:sz w:val="2"/>
                <w:szCs w:val="2"/>
              </w:rPr>
              <w:t>22F</w:t>
            </w:r>
            <w:r w:rsidRPr="00837805">
              <w:rPr>
                <w:rStyle w:val="FootnoteReference"/>
                <w:color w:val="57AE93"/>
                <w:szCs w:val="22"/>
              </w:rPr>
              <w:footnoteReference w:id="24"/>
            </w:r>
          </w:p>
        </w:tc>
      </w:tr>
      <w:tr w:rsidR="00FE54D1" w:rsidRPr="001F3F2F" w14:paraId="6E1AC184" w14:textId="77777777" w:rsidTr="00C41A1F">
        <w:tc>
          <w:tcPr>
            <w:tcW w:w="2552" w:type="dxa"/>
          </w:tcPr>
          <w:p w14:paraId="53320547" w14:textId="5C6BEEE3" w:rsidR="00FE54D1" w:rsidRDefault="00DD47C3" w:rsidP="00C114FC">
            <w:pPr>
              <w:pStyle w:val="BodyText"/>
              <w:ind w:right="227"/>
              <w:jc w:val="right"/>
              <w:rPr>
                <w:b/>
                <w:bCs/>
                <w:szCs w:val="22"/>
              </w:rPr>
            </w:pPr>
            <w:r>
              <w:rPr>
                <w:b/>
                <w:bCs/>
                <w:szCs w:val="22"/>
              </w:rPr>
              <w:t>27 June 2022 –</w:t>
            </w:r>
          </w:p>
        </w:tc>
        <w:tc>
          <w:tcPr>
            <w:tcW w:w="7302" w:type="dxa"/>
          </w:tcPr>
          <w:p w14:paraId="410168B5" w14:textId="3AA13589" w:rsidR="00FE54D1" w:rsidRPr="00DA3A91" w:rsidRDefault="00FC2054" w:rsidP="00C114FC">
            <w:pPr>
              <w:pStyle w:val="BodyText"/>
              <w:ind w:right="227"/>
              <w:rPr>
                <w:b/>
                <w:color w:val="00B050"/>
                <w:szCs w:val="22"/>
              </w:rPr>
            </w:pPr>
            <w:r w:rsidRPr="00B0677E">
              <w:rPr>
                <w:szCs w:val="22"/>
              </w:rPr>
              <w:t xml:space="preserve">The reported total number of </w:t>
            </w:r>
            <w:r w:rsidRPr="00B0677E">
              <w:rPr>
                <w:b/>
                <w:szCs w:val="22"/>
              </w:rPr>
              <w:t>COVID-19 cases</w:t>
            </w:r>
            <w:r w:rsidRPr="00B0677E">
              <w:rPr>
                <w:szCs w:val="22"/>
              </w:rPr>
              <w:t xml:space="preserve"> in Australia surpasses </w:t>
            </w:r>
            <w:r>
              <w:rPr>
                <w:b/>
                <w:szCs w:val="22"/>
              </w:rPr>
              <w:t>eight</w:t>
            </w:r>
            <w:r w:rsidRPr="00B0677E">
              <w:rPr>
                <w:b/>
                <w:szCs w:val="22"/>
              </w:rPr>
              <w:t xml:space="preserve"> million.</w:t>
            </w:r>
          </w:p>
        </w:tc>
      </w:tr>
      <w:tr w:rsidR="001713F7" w:rsidRPr="001F3F2F" w14:paraId="3D95854E" w14:textId="77777777" w:rsidTr="00C41A1F">
        <w:tc>
          <w:tcPr>
            <w:tcW w:w="2552" w:type="dxa"/>
          </w:tcPr>
          <w:p w14:paraId="3175707D" w14:textId="4BA5D0D1" w:rsidR="001713F7" w:rsidRDefault="008D3477" w:rsidP="00C114FC">
            <w:pPr>
              <w:pStyle w:val="BodyText"/>
              <w:ind w:right="227"/>
              <w:jc w:val="right"/>
              <w:rPr>
                <w:b/>
                <w:bCs/>
                <w:szCs w:val="22"/>
              </w:rPr>
            </w:pPr>
            <w:r>
              <w:rPr>
                <w:b/>
                <w:bCs/>
                <w:szCs w:val="22"/>
              </w:rPr>
              <w:t>6</w:t>
            </w:r>
            <w:r w:rsidR="001713F7">
              <w:rPr>
                <w:b/>
                <w:bCs/>
                <w:szCs w:val="22"/>
              </w:rPr>
              <w:t xml:space="preserve"> Ju</w:t>
            </w:r>
            <w:r>
              <w:rPr>
                <w:b/>
                <w:bCs/>
                <w:szCs w:val="22"/>
              </w:rPr>
              <w:t>ly</w:t>
            </w:r>
            <w:r w:rsidR="001713F7">
              <w:rPr>
                <w:b/>
                <w:bCs/>
                <w:szCs w:val="22"/>
              </w:rPr>
              <w:t xml:space="preserve"> 2022 –</w:t>
            </w:r>
          </w:p>
        </w:tc>
        <w:tc>
          <w:tcPr>
            <w:tcW w:w="7302" w:type="dxa"/>
          </w:tcPr>
          <w:p w14:paraId="01693EA9" w14:textId="5B52E06D" w:rsidR="001713F7" w:rsidRPr="00B0677E" w:rsidRDefault="00655AFF" w:rsidP="00C114FC">
            <w:pPr>
              <w:pStyle w:val="BodyText"/>
              <w:ind w:right="227"/>
              <w:rPr>
                <w:szCs w:val="22"/>
              </w:rPr>
            </w:pPr>
            <w:r>
              <w:rPr>
                <w:szCs w:val="22"/>
              </w:rPr>
              <w:t>P</w:t>
            </w:r>
            <w:r w:rsidR="00D6507A">
              <w:rPr>
                <w:szCs w:val="22"/>
              </w:rPr>
              <w:t>eople entering or leaving Australia</w:t>
            </w:r>
            <w:r w:rsidR="005B4A15">
              <w:rPr>
                <w:szCs w:val="22"/>
              </w:rPr>
              <w:t xml:space="preserve"> are</w:t>
            </w:r>
            <w:r>
              <w:rPr>
                <w:szCs w:val="22"/>
              </w:rPr>
              <w:t xml:space="preserve"> </w:t>
            </w:r>
            <w:r w:rsidRPr="00E6307F">
              <w:rPr>
                <w:b/>
                <w:bCs/>
                <w:szCs w:val="22"/>
              </w:rPr>
              <w:t>no longer required to provide evidence of their vaccination status</w:t>
            </w:r>
            <w:r w:rsidR="00D6507A">
              <w:rPr>
                <w:szCs w:val="22"/>
              </w:rPr>
              <w:t xml:space="preserve">. </w:t>
            </w:r>
            <w:r w:rsidR="00D6507A" w:rsidRPr="00E6307F">
              <w:rPr>
                <w:szCs w:val="22"/>
              </w:rPr>
              <w:t>Unvaccinated visa holders</w:t>
            </w:r>
            <w:r w:rsidR="00D6507A">
              <w:rPr>
                <w:szCs w:val="22"/>
              </w:rPr>
              <w:t xml:space="preserve"> no longer need </w:t>
            </w:r>
            <w:r w:rsidR="00371D9C">
              <w:rPr>
                <w:szCs w:val="22"/>
              </w:rPr>
              <w:t>a travel exemption to enter Australia.</w:t>
            </w:r>
          </w:p>
        </w:tc>
      </w:tr>
    </w:tbl>
    <w:p w14:paraId="2D1071FF" w14:textId="6F74DA8A" w:rsidR="00FD4244" w:rsidRDefault="00FD4244" w:rsidP="00266112">
      <w:pPr>
        <w:pStyle w:val="Heading1"/>
      </w:pPr>
      <w:r>
        <w:br w:type="page"/>
      </w:r>
      <w:bookmarkStart w:id="5" w:name="_Toc103943192"/>
      <w:r w:rsidR="006565B5">
        <w:lastRenderedPageBreak/>
        <w:t>Impacts</w:t>
      </w:r>
      <w:r w:rsidR="00266112">
        <w:t>: Audiences</w:t>
      </w:r>
      <w:bookmarkEnd w:id="5"/>
    </w:p>
    <w:p w14:paraId="70F0C8E1" w14:textId="2AD7BF67" w:rsidR="00266112" w:rsidRPr="00266112" w:rsidRDefault="00266112" w:rsidP="00266112">
      <w:pPr>
        <w:pStyle w:val="Heading2"/>
      </w:pPr>
      <w:bookmarkStart w:id="6" w:name="_Toc103943193"/>
      <w:r>
        <w:t>Audiences</w:t>
      </w:r>
      <w:bookmarkEnd w:id="6"/>
    </w:p>
    <w:p w14:paraId="5A8889DC" w14:textId="54BFB8E1" w:rsidR="00B65436" w:rsidRPr="00B65436" w:rsidRDefault="00B65436" w:rsidP="000D6862">
      <w:pPr>
        <w:pStyle w:val="Heading3"/>
      </w:pPr>
      <w:bookmarkStart w:id="7" w:name="_Toc97273388"/>
      <w:bookmarkStart w:id="8" w:name="_Toc97279964"/>
      <w:bookmarkStart w:id="9" w:name="_Toc97280143"/>
      <w:bookmarkStart w:id="10" w:name="_Toc97565242"/>
      <w:bookmarkStart w:id="11" w:name="_Toc103346852"/>
      <w:bookmarkStart w:id="12" w:name="_Toc103771366"/>
      <w:bookmarkStart w:id="13" w:name="_Toc103931815"/>
      <w:bookmarkStart w:id="14" w:name="_Toc103943194"/>
      <w:r w:rsidRPr="00B65436">
        <w:t>Arts and culture connected us during the early stages of the pandemic</w:t>
      </w:r>
      <w:bookmarkEnd w:id="7"/>
      <w:bookmarkEnd w:id="8"/>
      <w:bookmarkEnd w:id="9"/>
      <w:bookmarkEnd w:id="10"/>
      <w:bookmarkEnd w:id="11"/>
      <w:bookmarkEnd w:id="12"/>
      <w:bookmarkEnd w:id="13"/>
      <w:bookmarkEnd w:id="14"/>
    </w:p>
    <w:p w14:paraId="431DB209" w14:textId="6B79C7B6" w:rsidR="00B65436" w:rsidRPr="00B65436" w:rsidRDefault="00B65436" w:rsidP="00B65436">
      <w:pPr>
        <w:pStyle w:val="BodyText"/>
      </w:pPr>
      <w:bookmarkStart w:id="15" w:name="_Hlk96522624"/>
      <w:r w:rsidRPr="00B65436">
        <w:t>Participation in cultural and creative life was particularly vital for Australians during COVID-19 lockdowns.</w:t>
      </w:r>
      <w:r w:rsidR="0043398B">
        <w:rPr>
          <w:rFonts w:ascii="ZWAdobeF" w:hAnsi="ZWAdobeF" w:cs="ZWAdobeF"/>
          <w:sz w:val="2"/>
          <w:szCs w:val="2"/>
        </w:rPr>
        <w:t>23F</w:t>
      </w:r>
      <w:r w:rsidRPr="00B65436">
        <w:rPr>
          <w:vertAlign w:val="superscript"/>
        </w:rPr>
        <w:footnoteReference w:id="25"/>
      </w:r>
      <w:r w:rsidRPr="00B65436">
        <w:t xml:space="preserve"> While necessary distancing measures kept audiences away from theatres, galleries and venues, many Australians increased their online engagement.</w:t>
      </w:r>
      <w:r w:rsidR="0043398B">
        <w:rPr>
          <w:rFonts w:ascii="ZWAdobeF" w:hAnsi="ZWAdobeF" w:cs="ZWAdobeF"/>
          <w:sz w:val="2"/>
          <w:szCs w:val="2"/>
        </w:rPr>
        <w:t>24F</w:t>
      </w:r>
      <w:r w:rsidRPr="00B65436">
        <w:rPr>
          <w:vertAlign w:val="superscript"/>
        </w:rPr>
        <w:footnoteReference w:id="26"/>
      </w:r>
      <w:r w:rsidRPr="00B65436">
        <w:t xml:space="preserve"> </w:t>
      </w:r>
    </w:p>
    <w:p w14:paraId="6543D96F" w14:textId="3484A11C" w:rsidR="00B65436" w:rsidRPr="00B65436" w:rsidRDefault="00B65436" w:rsidP="00B65436">
      <w:pPr>
        <w:pStyle w:val="BodyText"/>
      </w:pPr>
      <w:r w:rsidRPr="00B65436">
        <w:t>Most Australians (73%) said that the arts improved their mood and quality of life during the early stages of the pandemic,</w:t>
      </w:r>
      <w:r w:rsidR="0043398B">
        <w:rPr>
          <w:rFonts w:ascii="ZWAdobeF" w:hAnsi="ZWAdobeF" w:cs="ZWAdobeF"/>
          <w:sz w:val="2"/>
          <w:szCs w:val="2"/>
        </w:rPr>
        <w:t>25F</w:t>
      </w:r>
      <w:r w:rsidRPr="00B65436">
        <w:rPr>
          <w:vertAlign w:val="superscript"/>
        </w:rPr>
        <w:footnoteReference w:id="27"/>
      </w:r>
      <w:r w:rsidRPr="00B65436">
        <w:t xml:space="preserve"> and many online audiences even reported achieving a sense of connection during lockdowns.</w:t>
      </w:r>
      <w:r w:rsidR="0043398B">
        <w:rPr>
          <w:rFonts w:ascii="ZWAdobeF" w:hAnsi="ZWAdobeF" w:cs="ZWAdobeF"/>
          <w:sz w:val="2"/>
          <w:szCs w:val="2"/>
        </w:rPr>
        <w:t>26F</w:t>
      </w:r>
      <w:r w:rsidRPr="00B65436">
        <w:rPr>
          <w:vertAlign w:val="superscript"/>
        </w:rPr>
        <w:footnoteReference w:id="28"/>
      </w:r>
      <w:r w:rsidRPr="00B65436">
        <w:t xml:space="preserve"> </w:t>
      </w:r>
    </w:p>
    <w:p w14:paraId="76F9732D" w14:textId="5F2578E6" w:rsidR="00B65436" w:rsidRPr="00B65436" w:rsidRDefault="00B65436" w:rsidP="00B65436">
      <w:pPr>
        <w:pStyle w:val="BodyText"/>
      </w:pPr>
      <w:r w:rsidRPr="00B65436">
        <w:t>Three of the five most popular activities Australians did to stay connected and support their wellbeing during the April 2020 lockdown relied on the cultural and creative industries and the skills of artists: ‘watching films/television programs or listening to the radio/podcasts’ (72%), ‘listening to music’ (55%) and ‘reading for pleasure or relaxation’ (54%).</w:t>
      </w:r>
      <w:r w:rsidR="0043398B">
        <w:rPr>
          <w:rFonts w:ascii="ZWAdobeF" w:hAnsi="ZWAdobeF" w:cs="ZWAdobeF"/>
          <w:sz w:val="2"/>
          <w:szCs w:val="2"/>
        </w:rPr>
        <w:t>27F</w:t>
      </w:r>
      <w:r w:rsidRPr="00B65436">
        <w:rPr>
          <w:vertAlign w:val="superscript"/>
        </w:rPr>
        <w:footnoteReference w:id="29"/>
      </w:r>
    </w:p>
    <w:p w14:paraId="5AC48F37" w14:textId="77777777" w:rsidR="00B65436" w:rsidRPr="00B65436" w:rsidRDefault="00B65436" w:rsidP="00B65436">
      <w:pPr>
        <w:pStyle w:val="BodyText"/>
      </w:pPr>
    </w:p>
    <w:p w14:paraId="41B71336" w14:textId="77777777" w:rsidR="00B65436" w:rsidRPr="00B65436" w:rsidRDefault="00B65436" w:rsidP="000D6862">
      <w:pPr>
        <w:pStyle w:val="Heading3"/>
      </w:pPr>
      <w:bookmarkStart w:id="16" w:name="_Toc97273389"/>
      <w:bookmarkStart w:id="17" w:name="_Toc97279965"/>
      <w:bookmarkStart w:id="18" w:name="_Toc97280144"/>
      <w:bookmarkStart w:id="19" w:name="_Toc97565243"/>
      <w:bookmarkStart w:id="20" w:name="_Toc103346853"/>
      <w:bookmarkStart w:id="21" w:name="_Toc103771367"/>
      <w:bookmarkStart w:id="22" w:name="_Toc103931816"/>
      <w:bookmarkStart w:id="23" w:name="_Toc103943195"/>
      <w:r w:rsidRPr="00B65436">
        <w:t>Audiences were hesitant to attend live events</w:t>
      </w:r>
      <w:bookmarkEnd w:id="16"/>
      <w:bookmarkEnd w:id="17"/>
      <w:bookmarkEnd w:id="18"/>
      <w:bookmarkEnd w:id="19"/>
      <w:bookmarkEnd w:id="20"/>
      <w:bookmarkEnd w:id="21"/>
      <w:bookmarkEnd w:id="22"/>
      <w:bookmarkEnd w:id="23"/>
    </w:p>
    <w:p w14:paraId="2768DD7A" w14:textId="77777777" w:rsidR="00B65436" w:rsidRPr="00B65436" w:rsidRDefault="00B65436" w:rsidP="00B65436">
      <w:pPr>
        <w:pStyle w:val="BodyText"/>
      </w:pPr>
      <w:r w:rsidRPr="00B65436">
        <w:t>Between March and May 2020, although audiences wanted to return to live arts and cultural events, most only planned to attend live events when the risk of transmission was minimal.</w:t>
      </w:r>
    </w:p>
    <w:p w14:paraId="7D056982" w14:textId="3B9C0591" w:rsidR="00B65436" w:rsidRPr="00B65436" w:rsidRDefault="00B65436" w:rsidP="00B65436">
      <w:pPr>
        <w:pStyle w:val="BodyText"/>
        <w:rPr>
          <w:b/>
        </w:rPr>
      </w:pPr>
      <w:r w:rsidRPr="00B65436">
        <w:t xml:space="preserve">Findings from the Audience Outlook Monitor </w:t>
      </w:r>
      <w:r w:rsidRPr="00B65436">
        <w:rPr>
          <w:bCs/>
        </w:rPr>
        <w:t>showed that</w:t>
      </w:r>
      <w:r w:rsidRPr="00B65436">
        <w:t xml:space="preserve"> in May 2020 </w:t>
      </w:r>
      <w:r w:rsidRPr="00B65436">
        <w:rPr>
          <w:bCs/>
        </w:rPr>
        <w:t>most</w:t>
      </w:r>
      <w:r w:rsidRPr="00B65436">
        <w:t xml:space="preserve"> audiences planned to return to arts and cultural events in the future (85%). However, just 22% of audiences were comfortable attending as soon as restrictions were </w:t>
      </w:r>
      <w:r w:rsidRPr="00B65436">
        <w:rPr>
          <w:bCs/>
        </w:rPr>
        <w:t>lifted</w:t>
      </w:r>
      <w:r w:rsidRPr="00B65436">
        <w:t xml:space="preserve">. </w:t>
      </w:r>
      <w:r w:rsidRPr="00B65436">
        <w:rPr>
          <w:bCs/>
        </w:rPr>
        <w:t>Over two-thirds of audiences</w:t>
      </w:r>
      <w:r w:rsidRPr="00B65436">
        <w:t xml:space="preserve"> said they would attend when they deemed the risk of transmission was minimal</w:t>
      </w:r>
      <w:r w:rsidRPr="00B65436">
        <w:rPr>
          <w:bCs/>
        </w:rPr>
        <w:t xml:space="preserve"> (67%)</w:t>
      </w:r>
      <w:r w:rsidRPr="00B65436">
        <w:t>.</w:t>
      </w:r>
      <w:r w:rsidR="0043398B">
        <w:rPr>
          <w:rFonts w:ascii="ZWAdobeF" w:hAnsi="ZWAdobeF" w:cs="ZWAdobeF"/>
          <w:sz w:val="2"/>
          <w:szCs w:val="2"/>
        </w:rPr>
        <w:t>28F</w:t>
      </w:r>
      <w:r w:rsidRPr="00B65436">
        <w:rPr>
          <w:bCs/>
          <w:vertAlign w:val="superscript"/>
        </w:rPr>
        <w:footnoteReference w:id="30"/>
      </w:r>
      <w:r w:rsidRPr="00B65436">
        <w:rPr>
          <w:b/>
        </w:rPr>
        <w:t xml:space="preserve"> </w:t>
      </w:r>
    </w:p>
    <w:p w14:paraId="53AD9869" w14:textId="77777777" w:rsidR="00B65436" w:rsidRPr="00B65436" w:rsidRDefault="00B65436" w:rsidP="00B65436">
      <w:pPr>
        <w:pStyle w:val="BodyText"/>
        <w:rPr>
          <w:b/>
        </w:rPr>
      </w:pPr>
    </w:p>
    <w:p w14:paraId="45BCDB78" w14:textId="77777777" w:rsidR="00B65436" w:rsidRPr="00B65436" w:rsidRDefault="00B65436" w:rsidP="000D6862">
      <w:pPr>
        <w:pStyle w:val="Heading3"/>
      </w:pPr>
      <w:bookmarkStart w:id="24" w:name="_Toc97273390"/>
      <w:bookmarkStart w:id="25" w:name="_Toc97279966"/>
      <w:bookmarkStart w:id="26" w:name="_Toc97280145"/>
      <w:bookmarkStart w:id="27" w:name="_Toc97565244"/>
      <w:bookmarkStart w:id="28" w:name="_Toc103346854"/>
      <w:bookmarkStart w:id="29" w:name="_Toc103771368"/>
      <w:bookmarkStart w:id="30" w:name="_Toc103931817"/>
      <w:bookmarkStart w:id="31" w:name="_Toc103943196"/>
      <w:r w:rsidRPr="00B65436">
        <w:t>Outdoor and digital engagement were initially preferred across the nation</w:t>
      </w:r>
      <w:bookmarkEnd w:id="24"/>
      <w:bookmarkEnd w:id="25"/>
      <w:bookmarkEnd w:id="26"/>
      <w:bookmarkEnd w:id="27"/>
      <w:bookmarkEnd w:id="28"/>
      <w:bookmarkEnd w:id="29"/>
      <w:bookmarkEnd w:id="30"/>
      <w:bookmarkEnd w:id="31"/>
    </w:p>
    <w:p w14:paraId="793C76F0" w14:textId="77777777" w:rsidR="00B65436" w:rsidRPr="00B65436" w:rsidRDefault="00B65436" w:rsidP="00B65436">
      <w:pPr>
        <w:pStyle w:val="BodyText"/>
      </w:pPr>
      <w:r w:rsidRPr="00B65436">
        <w:t xml:space="preserve">As COVID-19 restrictions eased, most Australian audiences preferred to participate in arts and creativity through attending outdoor events and engaging in digital content.  </w:t>
      </w:r>
    </w:p>
    <w:p w14:paraId="1FABC80E" w14:textId="6B8E68BC" w:rsidR="00B65436" w:rsidRPr="00B65436" w:rsidRDefault="00B65436" w:rsidP="00B65436">
      <w:pPr>
        <w:pStyle w:val="BodyText"/>
      </w:pPr>
      <w:r w:rsidRPr="00B65436">
        <w:t>By July 2020, while nationally audiences were comfortable to participate in public events (61%, up from 51% in May), most audiences preferred live-streamed digital programs that they could watch from home (39%) or an outdoor venue with enough lawn space to spread out (34%).</w:t>
      </w:r>
      <w:r w:rsidR="0043398B">
        <w:rPr>
          <w:rFonts w:ascii="ZWAdobeF" w:hAnsi="ZWAdobeF" w:cs="ZWAdobeF"/>
          <w:sz w:val="2"/>
          <w:szCs w:val="2"/>
        </w:rPr>
        <w:t>29F</w:t>
      </w:r>
      <w:r w:rsidRPr="00B65436">
        <w:rPr>
          <w:vertAlign w:val="superscript"/>
        </w:rPr>
        <w:footnoteReference w:id="31"/>
      </w:r>
      <w:r w:rsidRPr="00B65436">
        <w:t xml:space="preserve"> </w:t>
      </w:r>
    </w:p>
    <w:p w14:paraId="1C268619" w14:textId="5154E510" w:rsidR="00B65436" w:rsidRPr="00B65436" w:rsidRDefault="00B65436" w:rsidP="00B65436">
      <w:pPr>
        <w:pStyle w:val="BodyText"/>
      </w:pPr>
      <w:r w:rsidRPr="00B65436">
        <w:lastRenderedPageBreak/>
        <w:t xml:space="preserve">Some audiences mentioned crowds and venue safety as the key factor driving their attendance decisions during this time. Others </w:t>
      </w:r>
      <w:r w:rsidRPr="00B65436">
        <w:rPr>
          <w:bCs/>
        </w:rPr>
        <w:t>expressed desire to support ‘local’, ‘</w:t>
      </w:r>
      <w:r w:rsidRPr="00B65436">
        <w:t>homegrown’, independent and grassroots community events.</w:t>
      </w:r>
      <w:r w:rsidR="0043398B">
        <w:rPr>
          <w:rFonts w:ascii="ZWAdobeF" w:hAnsi="ZWAdobeF" w:cs="ZWAdobeF"/>
          <w:sz w:val="2"/>
          <w:szCs w:val="2"/>
        </w:rPr>
        <w:t>30F</w:t>
      </w:r>
      <w:r w:rsidRPr="00B65436">
        <w:rPr>
          <w:vertAlign w:val="superscript"/>
        </w:rPr>
        <w:footnoteReference w:id="32"/>
      </w:r>
      <w:r w:rsidRPr="00B65436">
        <w:t xml:space="preserve"> </w:t>
      </w:r>
    </w:p>
    <w:p w14:paraId="0CF32BBA" w14:textId="77777777" w:rsidR="00B65436" w:rsidRPr="00B65436" w:rsidRDefault="00B65436" w:rsidP="00B65436">
      <w:pPr>
        <w:pStyle w:val="BodyText"/>
      </w:pPr>
    </w:p>
    <w:p w14:paraId="67E12C59" w14:textId="77777777" w:rsidR="00B65436" w:rsidRPr="00B65436" w:rsidRDefault="00B65436" w:rsidP="000D6862">
      <w:pPr>
        <w:pStyle w:val="Heading3"/>
      </w:pPr>
      <w:bookmarkStart w:id="32" w:name="_Toc103346855"/>
      <w:bookmarkStart w:id="33" w:name="_Toc103771369"/>
      <w:bookmarkStart w:id="34" w:name="_Toc103931818"/>
      <w:bookmarkStart w:id="35" w:name="_Toc103943197"/>
      <w:r w:rsidRPr="00B65436">
        <w:t>Audiences were ready to attend arts events where transmission rates were low, but sentiment varied across the nation</w:t>
      </w:r>
      <w:bookmarkEnd w:id="32"/>
      <w:bookmarkEnd w:id="33"/>
      <w:bookmarkEnd w:id="34"/>
      <w:bookmarkEnd w:id="35"/>
    </w:p>
    <w:p w14:paraId="446F51DC" w14:textId="77777777" w:rsidR="00B65436" w:rsidRPr="00B65436" w:rsidRDefault="00B65436" w:rsidP="00B65436">
      <w:pPr>
        <w:pStyle w:val="BodyText"/>
      </w:pPr>
      <w:r w:rsidRPr="00B65436">
        <w:t xml:space="preserve">Although audiences initially preferred outdoor events and digital streaming, in states where transmission rates had dropped, audiences were more comfortable to attend in person events. </w:t>
      </w:r>
    </w:p>
    <w:p w14:paraId="7DA4449A" w14:textId="40E47EE3" w:rsidR="00B65436" w:rsidRPr="00B65436" w:rsidRDefault="00B65436" w:rsidP="00B65436">
      <w:pPr>
        <w:pStyle w:val="BodyText"/>
      </w:pPr>
      <w:r w:rsidRPr="00B65436">
        <w:t>Nationally, the proportion of audiences who were ready to attend as soon as permitted increased to 28% in July 2020 (up from 22% in March).</w:t>
      </w:r>
      <w:r w:rsidR="0043398B">
        <w:rPr>
          <w:rFonts w:ascii="ZWAdobeF" w:hAnsi="ZWAdobeF" w:cs="ZWAdobeF"/>
          <w:sz w:val="2"/>
          <w:szCs w:val="2"/>
        </w:rPr>
        <w:t>31F</w:t>
      </w:r>
      <w:r w:rsidRPr="00B65436">
        <w:rPr>
          <w:vertAlign w:val="superscript"/>
        </w:rPr>
        <w:footnoteReference w:id="33"/>
      </w:r>
      <w:r w:rsidRPr="00B65436">
        <w:t xml:space="preserve"> </w:t>
      </w:r>
    </w:p>
    <w:p w14:paraId="21E8C66D" w14:textId="77777777" w:rsidR="00B65436" w:rsidRPr="00B65436" w:rsidRDefault="00B65436" w:rsidP="00B65436">
      <w:pPr>
        <w:pStyle w:val="BodyText"/>
      </w:pPr>
      <w:r w:rsidRPr="00B65436">
        <w:t xml:space="preserve">However, in September, where cases were increasing, audiences felt less comfortable to attend in person. Sentiment towards attending events varied state-to-state in line with transmission rates. </w:t>
      </w:r>
    </w:p>
    <w:p w14:paraId="7A110E73" w14:textId="1837E239" w:rsidR="00B65436" w:rsidRPr="00B65436" w:rsidRDefault="00B65436" w:rsidP="00B65436">
      <w:pPr>
        <w:pStyle w:val="BodyText"/>
      </w:pPr>
      <w:r w:rsidRPr="00B65436">
        <w:t>In Victoria, a high rate of virus transmissions led to the imposing of stage 3 restrictions across the state. From July to October 2020, Victorians were restricted to their homes unless shopping for essentials, medical care, or to exercise. The proportion of Victorian audiences who were ready to attend, as soon as permitted, was just 20%, compared to 39% in NT, for example.</w:t>
      </w:r>
      <w:r w:rsidR="0043398B">
        <w:rPr>
          <w:rFonts w:ascii="ZWAdobeF" w:hAnsi="ZWAdobeF" w:cs="ZWAdobeF"/>
          <w:sz w:val="2"/>
          <w:szCs w:val="2"/>
        </w:rPr>
        <w:t>32F</w:t>
      </w:r>
      <w:r w:rsidRPr="00B65436">
        <w:rPr>
          <w:vertAlign w:val="superscript"/>
        </w:rPr>
        <w:footnoteReference w:id="34"/>
      </w:r>
      <w:r w:rsidRPr="00B65436">
        <w:t xml:space="preserve"> Similarly, where cases of the virus had begun rising again during this time in ACT, only 19% of audiences were ready to attend events.</w:t>
      </w:r>
      <w:r w:rsidR="0043398B">
        <w:rPr>
          <w:rFonts w:ascii="ZWAdobeF" w:hAnsi="ZWAdobeF" w:cs="ZWAdobeF"/>
          <w:sz w:val="2"/>
          <w:szCs w:val="2"/>
        </w:rPr>
        <w:t>33F</w:t>
      </w:r>
      <w:r w:rsidRPr="00B65436">
        <w:rPr>
          <w:vertAlign w:val="superscript"/>
        </w:rPr>
        <w:footnoteReference w:id="35"/>
      </w:r>
    </w:p>
    <w:p w14:paraId="7B643D39" w14:textId="32EE6D63" w:rsidR="00B65436" w:rsidRPr="00B65436" w:rsidRDefault="00B65436" w:rsidP="00B65436">
      <w:pPr>
        <w:pStyle w:val="BodyText"/>
      </w:pPr>
      <w:r w:rsidRPr="00B65436">
        <w:t>At a national level 29% of audiences were ready to attend as soon as permitted (similar to July, 28%). Confidence was increasing in WA, NT and TAS, with 40% of audiences saying they were ready to attend as soon as permitted. In QLD and SA 33% were ready to attend as soon as permitted. However, in NSW, VIC and the ACT, around 25% were ready to attend as soon as permitted.</w:t>
      </w:r>
      <w:r w:rsidR="0043398B">
        <w:rPr>
          <w:rFonts w:ascii="ZWAdobeF" w:hAnsi="ZWAdobeF" w:cs="ZWAdobeF"/>
          <w:sz w:val="2"/>
          <w:szCs w:val="2"/>
        </w:rPr>
        <w:t>34F</w:t>
      </w:r>
      <w:r w:rsidRPr="00B65436">
        <w:rPr>
          <w:vertAlign w:val="superscript"/>
        </w:rPr>
        <w:footnoteReference w:id="36"/>
      </w:r>
      <w:r w:rsidRPr="00B65436">
        <w:t xml:space="preserve"> </w:t>
      </w:r>
    </w:p>
    <w:p w14:paraId="4F8D9FD4" w14:textId="77777777" w:rsidR="00B65436" w:rsidRPr="00B65436" w:rsidRDefault="00B65436" w:rsidP="00B65436">
      <w:pPr>
        <w:pStyle w:val="BodyText"/>
      </w:pPr>
      <w:r w:rsidRPr="00B65436">
        <w:t xml:space="preserve">These figures confirm that confidence to attend events in person is closely linked with localised rates of community transmission. </w:t>
      </w:r>
    </w:p>
    <w:p w14:paraId="0739660E" w14:textId="77777777" w:rsidR="00B65436" w:rsidRPr="00B65436" w:rsidRDefault="00B65436" w:rsidP="00B65436">
      <w:pPr>
        <w:pStyle w:val="BodyText"/>
      </w:pPr>
    </w:p>
    <w:p w14:paraId="400CD8FD" w14:textId="70457CB2" w:rsidR="00B65436" w:rsidRPr="00B65436" w:rsidRDefault="00B65436" w:rsidP="000D6862">
      <w:pPr>
        <w:pStyle w:val="Heading3"/>
      </w:pPr>
      <w:bookmarkStart w:id="36" w:name="_Toc97273392"/>
      <w:bookmarkStart w:id="37" w:name="_Toc97279968"/>
      <w:bookmarkStart w:id="38" w:name="_Toc97280147"/>
      <w:bookmarkStart w:id="39" w:name="_Toc97565246"/>
      <w:bookmarkStart w:id="40" w:name="_Toc103346856"/>
      <w:bookmarkStart w:id="41" w:name="_Toc103771370"/>
      <w:bookmarkStart w:id="42" w:name="_Toc103931819"/>
      <w:bookmarkStart w:id="43" w:name="_Toc103943198"/>
      <w:r w:rsidRPr="00B65436">
        <w:t xml:space="preserve">In late 2020, audiences </w:t>
      </w:r>
      <w:bookmarkEnd w:id="36"/>
      <w:bookmarkEnd w:id="37"/>
      <w:bookmarkEnd w:id="38"/>
      <w:bookmarkEnd w:id="39"/>
      <w:r w:rsidRPr="00B65436">
        <w:t>were typically more comfortable to attend in person events</w:t>
      </w:r>
      <w:bookmarkEnd w:id="40"/>
      <w:bookmarkEnd w:id="41"/>
      <w:bookmarkEnd w:id="42"/>
      <w:bookmarkEnd w:id="43"/>
    </w:p>
    <w:p w14:paraId="47ED3AB3" w14:textId="7FE75025" w:rsidR="00B65436" w:rsidRPr="00B65436" w:rsidRDefault="00B65436" w:rsidP="00B65436">
      <w:pPr>
        <w:pStyle w:val="BodyText"/>
      </w:pPr>
      <w:r w:rsidRPr="00B65436">
        <w:t>By September 2020, audiences were more comfortable to attend live performance venues of all sizes, assuming they were open and following safety procedures, including face masks and social distancing guidelines.</w:t>
      </w:r>
      <w:r w:rsidR="0043398B">
        <w:rPr>
          <w:rFonts w:ascii="ZWAdobeF" w:hAnsi="ZWAdobeF" w:cs="ZWAdobeF"/>
          <w:sz w:val="2"/>
          <w:szCs w:val="2"/>
        </w:rPr>
        <w:t>35F</w:t>
      </w:r>
      <w:r w:rsidR="002D170B">
        <w:rPr>
          <w:rStyle w:val="FootnoteReference"/>
        </w:rPr>
        <w:footnoteReference w:id="37"/>
      </w:r>
    </w:p>
    <w:p w14:paraId="72F1C83B" w14:textId="67FA8BD5" w:rsidR="00B65436" w:rsidRPr="00B65436" w:rsidRDefault="00B65436" w:rsidP="00B65436">
      <w:pPr>
        <w:pStyle w:val="BodyText"/>
      </w:pPr>
      <w:r w:rsidRPr="00B65436">
        <w:t>More than a quarter of audience members had attended an arts or cultural event in the previous fortnight (29%, up from 24% in July), with museums and galleries the most common venues attended (13%).</w:t>
      </w:r>
      <w:r w:rsidR="0043398B">
        <w:rPr>
          <w:rFonts w:ascii="ZWAdobeF" w:hAnsi="ZWAdobeF" w:cs="ZWAdobeF"/>
          <w:sz w:val="2"/>
          <w:szCs w:val="2"/>
        </w:rPr>
        <w:t>36F</w:t>
      </w:r>
      <w:r w:rsidR="002D170B">
        <w:rPr>
          <w:rStyle w:val="FootnoteReference"/>
        </w:rPr>
        <w:footnoteReference w:id="38"/>
      </w:r>
      <w:r w:rsidRPr="00B65436">
        <w:t xml:space="preserve"> </w:t>
      </w:r>
    </w:p>
    <w:p w14:paraId="409B6C28" w14:textId="11D355E7" w:rsidR="00B65436" w:rsidRPr="00B65436" w:rsidRDefault="00B65436" w:rsidP="00B65436">
      <w:pPr>
        <w:pStyle w:val="BodyText"/>
      </w:pPr>
      <w:r w:rsidRPr="00B65436">
        <w:t>As audiences felt more comfortable to attend live events, the proportion of Australians who put live-streaming as their first choice dropped back slightly across Australia (35% in September 2020, down from 39% in July).</w:t>
      </w:r>
      <w:r w:rsidR="0043398B">
        <w:rPr>
          <w:rFonts w:ascii="ZWAdobeF" w:hAnsi="ZWAdobeF" w:cs="ZWAdobeF"/>
          <w:sz w:val="2"/>
          <w:szCs w:val="2"/>
        </w:rPr>
        <w:t>37F</w:t>
      </w:r>
      <w:r w:rsidRPr="00B65436">
        <w:rPr>
          <w:vertAlign w:val="superscript"/>
        </w:rPr>
        <w:footnoteReference w:id="39"/>
      </w:r>
    </w:p>
    <w:p w14:paraId="25910397" w14:textId="77777777" w:rsidR="00B65436" w:rsidRPr="00B65436" w:rsidRDefault="00B65436" w:rsidP="00B65436">
      <w:pPr>
        <w:pStyle w:val="BodyText"/>
      </w:pPr>
    </w:p>
    <w:p w14:paraId="47436F27" w14:textId="1E26ED93" w:rsidR="00B65436" w:rsidRPr="00B65436" w:rsidRDefault="00B65436" w:rsidP="000D6862">
      <w:pPr>
        <w:pStyle w:val="Heading3"/>
      </w:pPr>
      <w:bookmarkStart w:id="44" w:name="_Toc103346857"/>
      <w:bookmarkStart w:id="45" w:name="_Toc103771371"/>
      <w:bookmarkStart w:id="46" w:name="_Toc103931820"/>
      <w:bookmarkStart w:id="47" w:name="_Toc103943199"/>
      <w:r w:rsidRPr="00B65436">
        <w:t>Audiences increasingly attended cultural and creative activities in person in late 2020 and early 2021</w:t>
      </w:r>
      <w:bookmarkEnd w:id="44"/>
      <w:bookmarkEnd w:id="45"/>
      <w:bookmarkEnd w:id="46"/>
      <w:bookmarkEnd w:id="47"/>
    </w:p>
    <w:bookmarkEnd w:id="15"/>
    <w:p w14:paraId="010C06F6" w14:textId="77777777" w:rsidR="00B65436" w:rsidRPr="00B65436" w:rsidRDefault="00B65436" w:rsidP="00B65436">
      <w:pPr>
        <w:pStyle w:val="BodyText"/>
      </w:pPr>
      <w:r w:rsidRPr="00B65436">
        <w:t xml:space="preserve">Between late 2020 and early 2021, live attendance rates more than doubled. </w:t>
      </w:r>
    </w:p>
    <w:p w14:paraId="4573AC09" w14:textId="73934B7E" w:rsidR="00B65436" w:rsidRPr="00B65436" w:rsidRDefault="00B65436" w:rsidP="00B65436">
      <w:pPr>
        <w:pStyle w:val="BodyText"/>
      </w:pPr>
      <w:r w:rsidRPr="00B65436">
        <w:t>In March 2021, 71% of audiences attended a cultural activity in person within the fortnight before data collection, compared with 29% in September 2020. Two-fifths (41%) of audiences said they recently attended a live performance — a significant increase since September when most performance venues were still closed (8%).</w:t>
      </w:r>
      <w:r w:rsidR="0043398B">
        <w:rPr>
          <w:rFonts w:ascii="ZWAdobeF" w:hAnsi="ZWAdobeF" w:cs="ZWAdobeF"/>
          <w:sz w:val="2"/>
          <w:szCs w:val="2"/>
        </w:rPr>
        <w:t>38F</w:t>
      </w:r>
      <w:r w:rsidRPr="00B65436">
        <w:rPr>
          <w:vertAlign w:val="superscript"/>
        </w:rPr>
        <w:footnoteReference w:id="40"/>
      </w:r>
      <w:r w:rsidRPr="00B65436">
        <w:t xml:space="preserve"> </w:t>
      </w:r>
    </w:p>
    <w:p w14:paraId="019BB69B" w14:textId="74C41309" w:rsidR="00B65436" w:rsidRPr="00B65436" w:rsidRDefault="00B65436" w:rsidP="00B65436">
      <w:pPr>
        <w:pStyle w:val="BodyText"/>
      </w:pPr>
      <w:r w:rsidRPr="00B65436">
        <w:t>COVID-safety measures were critical to audience confidence during this time. Along with check-in procedures and disinfection, social distancing and venue capacity restrictions were key to audiences’ perceptions of safety.</w:t>
      </w:r>
      <w:r w:rsidR="0043398B">
        <w:rPr>
          <w:rFonts w:ascii="ZWAdobeF" w:hAnsi="ZWAdobeF" w:cs="ZWAdobeF"/>
          <w:sz w:val="2"/>
          <w:szCs w:val="2"/>
        </w:rPr>
        <w:t>39F</w:t>
      </w:r>
      <w:r w:rsidRPr="00B65436">
        <w:rPr>
          <w:vertAlign w:val="superscript"/>
        </w:rPr>
        <w:footnoteReference w:id="41"/>
      </w:r>
      <w:r w:rsidRPr="00B65436">
        <w:t xml:space="preserve"> When asked about barriers to attending, the number one thing inhibiting attendance was the risk of lockdowns and cancelled events (37%) rather than the risk of contracting or transmitting the virus (26%).</w:t>
      </w:r>
    </w:p>
    <w:p w14:paraId="4DB91560" w14:textId="77777777" w:rsidR="00B65436" w:rsidRPr="00B65436" w:rsidRDefault="00B65436" w:rsidP="00B65436">
      <w:pPr>
        <w:pStyle w:val="BodyText"/>
      </w:pPr>
    </w:p>
    <w:p w14:paraId="5075DF23" w14:textId="200E9869" w:rsidR="00B65436" w:rsidRPr="00B65436" w:rsidRDefault="00B65436" w:rsidP="000D6862">
      <w:pPr>
        <w:pStyle w:val="Heading3"/>
      </w:pPr>
      <w:bookmarkStart w:id="48" w:name="_Toc97273393"/>
      <w:bookmarkStart w:id="49" w:name="_Toc97279969"/>
      <w:bookmarkStart w:id="50" w:name="_Toc97280148"/>
      <w:bookmarkStart w:id="51" w:name="_Toc97565247"/>
      <w:bookmarkStart w:id="52" w:name="_Toc103346858"/>
      <w:bookmarkStart w:id="53" w:name="_Toc103771372"/>
      <w:bookmarkStart w:id="54" w:name="_Toc103931821"/>
      <w:bookmarkStart w:id="55" w:name="_Toc103943200"/>
      <w:r w:rsidRPr="00B65436">
        <w:t>A year into the pandemic, some audiences experienced ‘digital fatigue</w:t>
      </w:r>
      <w:bookmarkEnd w:id="48"/>
      <w:r w:rsidRPr="00B65436">
        <w:t>’</w:t>
      </w:r>
      <w:bookmarkEnd w:id="49"/>
      <w:bookmarkEnd w:id="50"/>
      <w:bookmarkEnd w:id="51"/>
      <w:bookmarkEnd w:id="52"/>
      <w:bookmarkEnd w:id="53"/>
      <w:bookmarkEnd w:id="54"/>
      <w:bookmarkEnd w:id="55"/>
    </w:p>
    <w:p w14:paraId="54FE3028" w14:textId="211B40A0" w:rsidR="00B65436" w:rsidRPr="00B65436" w:rsidRDefault="00B65436" w:rsidP="00B65436">
      <w:pPr>
        <w:pStyle w:val="BodyText"/>
        <w:rPr>
          <w:bCs/>
        </w:rPr>
      </w:pPr>
      <w:r w:rsidRPr="00B65436">
        <w:t>By 2021</w:t>
      </w:r>
      <w:r w:rsidRPr="00B65436">
        <w:rPr>
          <w:b/>
        </w:rPr>
        <w:t xml:space="preserve">, </w:t>
      </w:r>
      <w:r w:rsidRPr="00B65436">
        <w:rPr>
          <w:lang w:val="en-US"/>
        </w:rPr>
        <w:t>while some audiences became ‘digital devotees’,</w:t>
      </w:r>
      <w:r w:rsidRPr="00B65436">
        <w:rPr>
          <w:b/>
        </w:rPr>
        <w:t xml:space="preserve"> </w:t>
      </w:r>
      <w:r w:rsidRPr="00B65436">
        <w:rPr>
          <w:bCs/>
        </w:rPr>
        <w:t>others were growing ‘tired of tech’.</w:t>
      </w:r>
      <w:r w:rsidR="0043398B">
        <w:rPr>
          <w:rFonts w:ascii="ZWAdobeF" w:hAnsi="ZWAdobeF" w:cs="ZWAdobeF"/>
          <w:bCs/>
          <w:sz w:val="2"/>
          <w:szCs w:val="2"/>
        </w:rPr>
        <w:t>40F</w:t>
      </w:r>
      <w:r w:rsidRPr="00B65436">
        <w:rPr>
          <w:bCs/>
          <w:vertAlign w:val="superscript"/>
        </w:rPr>
        <w:footnoteReference w:id="42"/>
      </w:r>
    </w:p>
    <w:p w14:paraId="368A64B2" w14:textId="77777777" w:rsidR="00B65436" w:rsidRPr="00B65436" w:rsidRDefault="00B65436" w:rsidP="00B65436">
      <w:pPr>
        <w:pStyle w:val="BodyText"/>
        <w:rPr>
          <w:bCs/>
        </w:rPr>
      </w:pPr>
      <w:r w:rsidRPr="00B65436">
        <w:rPr>
          <w:bCs/>
        </w:rPr>
        <w:t xml:space="preserve">Findings from the </w:t>
      </w:r>
      <w:r w:rsidRPr="00B65436">
        <w:t>March 2021</w:t>
      </w:r>
      <w:r w:rsidRPr="00B65436">
        <w:rPr>
          <w:bCs/>
        </w:rPr>
        <w:t xml:space="preserve"> Audience Outlook Monitor showed some audiences had grown fatigued of ‘screen-time’ or weren’t interested in digital programs (27%). Just 1 in 10 said a digital program would be their first choice at this time (9%) and overall participation in online arts experiences had fallen to 47%, down from 70% in September 2020). </w:t>
      </w:r>
    </w:p>
    <w:p w14:paraId="7645C54C" w14:textId="77777777" w:rsidR="00B65436" w:rsidRPr="00B65436" w:rsidRDefault="00B65436" w:rsidP="00B65436">
      <w:pPr>
        <w:pStyle w:val="BodyText"/>
      </w:pPr>
      <w:r w:rsidRPr="00B65436">
        <w:rPr>
          <w:bCs/>
        </w:rPr>
        <w:t>These findings coincided with a resurgence of live arts and cultural attendance across the country, with 80% making plans to attend a cultural venue or event in person.</w:t>
      </w:r>
    </w:p>
    <w:p w14:paraId="6DAEDD22" w14:textId="77777777" w:rsidR="00B65436" w:rsidRPr="00B65436" w:rsidRDefault="00B65436" w:rsidP="00B65436">
      <w:pPr>
        <w:pStyle w:val="BodyText"/>
      </w:pPr>
    </w:p>
    <w:p w14:paraId="68664A2D" w14:textId="445F5A5B" w:rsidR="00B65436" w:rsidRPr="00B65436" w:rsidRDefault="00B65436" w:rsidP="000D6862">
      <w:pPr>
        <w:pStyle w:val="Heading3"/>
      </w:pPr>
      <w:bookmarkStart w:id="56" w:name="_Toc97273394"/>
      <w:bookmarkStart w:id="57" w:name="_Toc97279970"/>
      <w:bookmarkStart w:id="58" w:name="_Toc97280149"/>
      <w:bookmarkStart w:id="59" w:name="_Toc97565248"/>
      <w:bookmarkStart w:id="60" w:name="_Toc103346859"/>
      <w:bookmarkStart w:id="61" w:name="_Toc103771373"/>
      <w:bookmarkStart w:id="62" w:name="_Toc103931822"/>
      <w:bookmarkStart w:id="63" w:name="_Toc103943201"/>
      <w:r w:rsidRPr="00B65436">
        <w:t>Fluctuation in transmissions affected audience confidence throughout 2021 and vaccination and safety measures seen as key</w:t>
      </w:r>
      <w:bookmarkEnd w:id="56"/>
      <w:bookmarkEnd w:id="57"/>
      <w:bookmarkEnd w:id="58"/>
      <w:bookmarkEnd w:id="59"/>
      <w:bookmarkEnd w:id="60"/>
      <w:bookmarkEnd w:id="61"/>
      <w:bookmarkEnd w:id="62"/>
      <w:bookmarkEnd w:id="63"/>
      <w:r w:rsidRPr="00B65436">
        <w:t xml:space="preserve"> </w:t>
      </w:r>
    </w:p>
    <w:p w14:paraId="37387EAF" w14:textId="77777777" w:rsidR="00B65436" w:rsidRPr="00B65436" w:rsidRDefault="00B65436" w:rsidP="00B65436">
      <w:pPr>
        <w:pStyle w:val="BodyText"/>
      </w:pPr>
      <w:r w:rsidRPr="00B65436">
        <w:t xml:space="preserve">Surges in transmission in late 2020 and throughout 2021 saw much of the nation experience changes to the public health order. This state of flux impacted how audiences were able </w:t>
      </w:r>
      <w:r w:rsidRPr="00B65436">
        <w:softHyphen/>
        <w:t xml:space="preserve">– or chose – to attend live events. </w:t>
      </w:r>
    </w:p>
    <w:p w14:paraId="0D60CD5A" w14:textId="77777777" w:rsidR="00B65436" w:rsidRPr="00B65436" w:rsidRDefault="00B65436" w:rsidP="00B65436">
      <w:pPr>
        <w:pStyle w:val="BodyText"/>
      </w:pPr>
      <w:r w:rsidRPr="00B65436">
        <w:t>From late-February 2021, Australia started rolling out its vaccination campaign. The program was seen as key to enabling Australians to return to a new ‘COVID normal’.</w:t>
      </w:r>
    </w:p>
    <w:p w14:paraId="55B2BE00" w14:textId="2D8AF372" w:rsidR="00B65436" w:rsidRPr="00B65436" w:rsidRDefault="00B65436" w:rsidP="00B65436">
      <w:pPr>
        <w:pStyle w:val="BodyText"/>
      </w:pPr>
      <w:r w:rsidRPr="00B65436">
        <w:t>The July 2021 results of the Audience Outlook Monitor indicated a setback in audience attendance, as cancellations affected events around the country. Nationally, slightly more than half of past attendees had recently attended an event (53%, down from 71% in March 2021).</w:t>
      </w:r>
      <w:r w:rsidR="0043398B">
        <w:rPr>
          <w:rFonts w:ascii="ZWAdobeF" w:hAnsi="ZWAdobeF" w:cs="ZWAdobeF"/>
          <w:sz w:val="2"/>
          <w:szCs w:val="2"/>
        </w:rPr>
        <w:t>41F</w:t>
      </w:r>
      <w:r w:rsidRPr="00B65436">
        <w:rPr>
          <w:vertAlign w:val="superscript"/>
        </w:rPr>
        <w:footnoteReference w:id="43"/>
      </w:r>
    </w:p>
    <w:p w14:paraId="452FEAB4" w14:textId="77777777" w:rsidR="00B65436" w:rsidRPr="00B65436" w:rsidRDefault="00B65436" w:rsidP="00B65436">
      <w:pPr>
        <w:pStyle w:val="BodyText"/>
      </w:pPr>
      <w:r w:rsidRPr="00B65436">
        <w:lastRenderedPageBreak/>
        <w:t>Three-quarters of audiences said their plans were affected by lockdowns/restrictions in the past four months (76%). Reasons included being in lockdown (60%), the event being in an area affected (59%), or the event being cancelled due to an artist not being able to appear (62%).</w:t>
      </w:r>
    </w:p>
    <w:p w14:paraId="5A4BDA06" w14:textId="25110356" w:rsidR="00B65436" w:rsidRPr="00B65436" w:rsidRDefault="00B65436" w:rsidP="00B65436">
      <w:pPr>
        <w:pStyle w:val="BodyText"/>
      </w:pPr>
      <w:r w:rsidRPr="00B65436">
        <w:t xml:space="preserve">In July 2021, around half of audiences said the risk of future lockdowns and cancellations was inhibiting their attendance (52%), while 38% </w:t>
      </w:r>
      <w:r w:rsidR="004B76C1">
        <w:t>we</w:t>
      </w:r>
      <w:r w:rsidRPr="00B65436">
        <w:t>re concerned about virus transmission.</w:t>
      </w:r>
    </w:p>
    <w:p w14:paraId="2AF801D5" w14:textId="46AA3488" w:rsidR="00B65436" w:rsidRPr="00B65436" w:rsidRDefault="00B65436" w:rsidP="00B65436">
      <w:pPr>
        <w:pStyle w:val="BodyText"/>
      </w:pPr>
      <w:r w:rsidRPr="00B65436">
        <w:t>However, during this time, audiences remained committed to engaging with culture, with 86% feeling at least somewhat confident that the vaccination roll-out would be successful in helping things return to normal within 12 months.</w:t>
      </w:r>
      <w:r w:rsidR="0043398B">
        <w:rPr>
          <w:rFonts w:ascii="ZWAdobeF" w:hAnsi="ZWAdobeF" w:cs="ZWAdobeF"/>
          <w:sz w:val="2"/>
          <w:szCs w:val="2"/>
        </w:rPr>
        <w:t>42F</w:t>
      </w:r>
      <w:r w:rsidRPr="00B65436">
        <w:rPr>
          <w:vertAlign w:val="superscript"/>
        </w:rPr>
        <w:footnoteReference w:id="44"/>
      </w:r>
      <w:r w:rsidRPr="00B65436">
        <w:t xml:space="preserve"> </w:t>
      </w:r>
    </w:p>
    <w:p w14:paraId="076B0034" w14:textId="77777777" w:rsidR="00B65436" w:rsidRPr="00B65436" w:rsidRDefault="00B65436" w:rsidP="00B65436">
      <w:pPr>
        <w:pStyle w:val="BodyText"/>
      </w:pPr>
      <w:r w:rsidRPr="00B65436">
        <w:t xml:space="preserve">High transmission rates due to the Delta variant saw Victoria and New South Wales experience more extended lockdowns in mid-2021. </w:t>
      </w:r>
    </w:p>
    <w:p w14:paraId="2EF38ABB" w14:textId="278BFB5B" w:rsidR="00B65436" w:rsidRPr="00B65436" w:rsidRDefault="00B65436" w:rsidP="00B65436">
      <w:pPr>
        <w:pStyle w:val="BodyText"/>
      </w:pPr>
      <w:r w:rsidRPr="00B65436">
        <w:t>Findings from an Audience Outlook Monitor pulse survey in October 2021 showed confidence in outbreak-affected states had been affected by the Delta variant. On average, confidence in outbreak-affected states decreased since July 2021. When asked how they felt about attending cultural events right now, 43% of audiences in outbreak-affected states were ready to attend ‘now or as soon as permitted’ (down from 57% in July). Another 52% (up from 39%) w</w:t>
      </w:r>
      <w:r w:rsidR="00273EA5">
        <w:t>ould</w:t>
      </w:r>
      <w:r w:rsidRPr="00B65436">
        <w:t xml:space="preserve"> attend when reasonably confident the risk of transmission is minimal.</w:t>
      </w:r>
    </w:p>
    <w:p w14:paraId="501DF87B" w14:textId="77777777" w:rsidR="00B65436" w:rsidRPr="00B65436" w:rsidRDefault="00B65436" w:rsidP="00B65436">
      <w:pPr>
        <w:pStyle w:val="BodyText"/>
      </w:pPr>
      <w:r w:rsidRPr="00B65436">
        <w:t>By contrast, the majority of audience members in the rest of the country remained ready and willing to attend events (74%, up from 69% in July 2021) – with border closures keeping flow-on impacts from outbreaks in other states at bay.</w:t>
      </w:r>
    </w:p>
    <w:p w14:paraId="28D26AA4" w14:textId="77777777" w:rsidR="00B65436" w:rsidRPr="00B65436" w:rsidRDefault="00B65436" w:rsidP="00B65436">
      <w:pPr>
        <w:pStyle w:val="BodyText"/>
      </w:pPr>
      <w:r w:rsidRPr="00B65436">
        <w:t>Among the 43% who were ‘ready to attend’ in outbreak-affected states, vaccination was key. For a sizeable group, receiving the vaccine had made them feel ready to attend cultural events – and they were generally happy to put their trust in venues and public health measures to keep them and the community safe.</w:t>
      </w:r>
    </w:p>
    <w:p w14:paraId="2B51D4E5" w14:textId="77777777" w:rsidR="00B65436" w:rsidRPr="00B65436" w:rsidRDefault="00B65436" w:rsidP="00B65436">
      <w:pPr>
        <w:pStyle w:val="BodyText"/>
      </w:pPr>
      <w:r w:rsidRPr="00B65436">
        <w:t>For 52% of audiences who were more cautious about going out in outbreak affected states, COVID-19 safety measures were vital – and vaccine passports appeared high on their list of priorities. As of 1 October 2021, the majority of audience members across all risk profiles said they would be encouraged (81%) by proof of vaccination requirements at venues.</w:t>
      </w:r>
    </w:p>
    <w:p w14:paraId="7D611B52" w14:textId="77777777" w:rsidR="00B65436" w:rsidRPr="00B65436" w:rsidRDefault="00B65436" w:rsidP="00B65436">
      <w:pPr>
        <w:pStyle w:val="BodyText"/>
      </w:pPr>
    </w:p>
    <w:p w14:paraId="11621998" w14:textId="1753D0EB" w:rsidR="00B65436" w:rsidRPr="00B65436" w:rsidRDefault="00B65436" w:rsidP="000D6862">
      <w:pPr>
        <w:pStyle w:val="Heading3"/>
      </w:pPr>
      <w:bookmarkStart w:id="64" w:name="_Toc97273395"/>
      <w:bookmarkStart w:id="65" w:name="_Toc97279971"/>
      <w:bookmarkStart w:id="66" w:name="_Toc97280150"/>
      <w:bookmarkStart w:id="67" w:name="_Toc97565249"/>
      <w:bookmarkStart w:id="68" w:name="_Toc103346860"/>
      <w:bookmarkStart w:id="69" w:name="_Toc103771374"/>
      <w:bookmarkStart w:id="70" w:name="_Toc103931823"/>
      <w:bookmarkStart w:id="71" w:name="_Toc103943202"/>
      <w:r w:rsidRPr="00B65436">
        <w:t>In late-2021, audiences wanted to attend events with minimal transmission risk</w:t>
      </w:r>
      <w:bookmarkEnd w:id="64"/>
      <w:bookmarkEnd w:id="65"/>
      <w:bookmarkEnd w:id="66"/>
      <w:bookmarkEnd w:id="67"/>
      <w:r w:rsidRPr="00B65436">
        <w:t xml:space="preserve"> again</w:t>
      </w:r>
      <w:bookmarkEnd w:id="68"/>
      <w:bookmarkEnd w:id="69"/>
      <w:bookmarkEnd w:id="70"/>
      <w:bookmarkEnd w:id="71"/>
    </w:p>
    <w:p w14:paraId="7B7C98FB" w14:textId="77777777" w:rsidR="00B65436" w:rsidRPr="00B65436" w:rsidRDefault="00B65436" w:rsidP="00B65436">
      <w:pPr>
        <w:pStyle w:val="BodyText"/>
      </w:pPr>
      <w:r w:rsidRPr="00B65436">
        <w:t>Following long lockdowns in Australia’s eastern states, confidence in the outbreak-affected states of NSW, VIC and ACT was beginning to recover, but many Australians still had safety concerns about attending in person events.</w:t>
      </w:r>
    </w:p>
    <w:p w14:paraId="7605E14C" w14:textId="0AAE1043" w:rsidR="00B65436" w:rsidRPr="00B65436" w:rsidRDefault="00B65436" w:rsidP="00B65436">
      <w:pPr>
        <w:pStyle w:val="BodyText"/>
      </w:pPr>
      <w:r w:rsidRPr="00B65436">
        <w:t>In November 2021, audiences were more likely to be concerned with risks of transmission (51%) or being a close contact (43%) compared to mid-year results. They were also less likely to be inhibited from attending cultural events by the risk of lockdowns (now 38%).</w:t>
      </w:r>
      <w:r w:rsidR="0043398B">
        <w:rPr>
          <w:rFonts w:ascii="ZWAdobeF" w:hAnsi="ZWAdobeF" w:cs="ZWAdobeF"/>
          <w:sz w:val="2"/>
          <w:szCs w:val="2"/>
        </w:rPr>
        <w:t>43F</w:t>
      </w:r>
      <w:r w:rsidRPr="00B65436">
        <w:rPr>
          <w:vertAlign w:val="superscript"/>
        </w:rPr>
        <w:footnoteReference w:id="45"/>
      </w:r>
      <w:r w:rsidRPr="00B65436">
        <w:t xml:space="preserve"> </w:t>
      </w:r>
    </w:p>
    <w:p w14:paraId="5AA11439" w14:textId="52B29F6C" w:rsidR="00B65436" w:rsidRPr="00B65436" w:rsidRDefault="00B65436" w:rsidP="00B65436">
      <w:pPr>
        <w:pStyle w:val="BodyText"/>
      </w:pPr>
      <w:r w:rsidRPr="00B65436">
        <w:t>Audiences grew accustomed to ‘living with the virus’: 50% said they were ‘ready to attend’, however only 29% had done so in practice, suggesting it would take some time to rebuild attendance activity in all areas.</w:t>
      </w:r>
      <w:r w:rsidR="0043398B">
        <w:rPr>
          <w:rFonts w:ascii="ZWAdobeF" w:hAnsi="ZWAdobeF" w:cs="ZWAdobeF"/>
          <w:sz w:val="2"/>
          <w:szCs w:val="2"/>
        </w:rPr>
        <w:t>44F</w:t>
      </w:r>
      <w:r w:rsidRPr="00B65436">
        <w:rPr>
          <w:vertAlign w:val="superscript"/>
        </w:rPr>
        <w:footnoteReference w:id="46"/>
      </w:r>
    </w:p>
    <w:p w14:paraId="7091B309" w14:textId="354B6747" w:rsidR="00B65436" w:rsidRPr="00B65436" w:rsidRDefault="00B65436" w:rsidP="00B65436">
      <w:pPr>
        <w:pStyle w:val="BodyText"/>
      </w:pPr>
      <w:r w:rsidRPr="00B65436">
        <w:lastRenderedPageBreak/>
        <w:t>As COVID-19 cases trended downwards in late October and early November 2021, most audience members appeared cautiously optimistic about attending over summer.</w:t>
      </w:r>
      <w:r w:rsidR="0043398B">
        <w:rPr>
          <w:rFonts w:ascii="ZWAdobeF" w:hAnsi="ZWAdobeF" w:cs="ZWAdobeF"/>
          <w:sz w:val="2"/>
          <w:szCs w:val="2"/>
        </w:rPr>
        <w:t>45F</w:t>
      </w:r>
      <w:r w:rsidRPr="00B65436">
        <w:rPr>
          <w:vertAlign w:val="superscript"/>
        </w:rPr>
        <w:footnoteReference w:id="47"/>
      </w:r>
      <w:r w:rsidRPr="00B65436">
        <w:t xml:space="preserve"> Seven in 10 (67%) audience members in the outbreak-affected states and territories made plans to attend a cultural event of some kind. This increased to 8 in 10 audience members (82%) in the rest of the country.</w:t>
      </w:r>
      <w:r w:rsidR="0043398B">
        <w:rPr>
          <w:rFonts w:ascii="ZWAdobeF" w:hAnsi="ZWAdobeF" w:cs="ZWAdobeF"/>
          <w:sz w:val="2"/>
          <w:szCs w:val="2"/>
        </w:rPr>
        <w:t>46F</w:t>
      </w:r>
      <w:r w:rsidRPr="00B65436">
        <w:rPr>
          <w:vertAlign w:val="superscript"/>
        </w:rPr>
        <w:footnoteReference w:id="48"/>
      </w:r>
    </w:p>
    <w:p w14:paraId="208E426E" w14:textId="77777777" w:rsidR="00B65436" w:rsidRPr="00B65436" w:rsidRDefault="00B65436" w:rsidP="00B65436">
      <w:pPr>
        <w:pStyle w:val="BodyText"/>
      </w:pPr>
    </w:p>
    <w:p w14:paraId="0C9727A4" w14:textId="1489DC23" w:rsidR="00B65436" w:rsidRPr="00B65436" w:rsidRDefault="00B65436" w:rsidP="000D6862">
      <w:pPr>
        <w:pStyle w:val="Heading3"/>
      </w:pPr>
      <w:bookmarkStart w:id="72" w:name="_Toc97273396"/>
      <w:bookmarkStart w:id="73" w:name="_Toc97279972"/>
      <w:bookmarkStart w:id="74" w:name="_Toc97280151"/>
      <w:bookmarkStart w:id="75" w:name="_Toc97565250"/>
      <w:bookmarkStart w:id="76" w:name="_Toc103346861"/>
      <w:bookmarkStart w:id="77" w:name="_Toc103771375"/>
      <w:bookmarkStart w:id="78" w:name="_Toc103931824"/>
      <w:bookmarkStart w:id="79" w:name="_Toc103943203"/>
      <w:r w:rsidRPr="00B65436">
        <w:t>Omicron variant brought back hesitancy to return to events</w:t>
      </w:r>
      <w:bookmarkEnd w:id="72"/>
      <w:bookmarkEnd w:id="73"/>
      <w:bookmarkEnd w:id="74"/>
      <w:bookmarkEnd w:id="75"/>
      <w:bookmarkEnd w:id="76"/>
      <w:bookmarkEnd w:id="77"/>
      <w:bookmarkEnd w:id="78"/>
      <w:bookmarkEnd w:id="79"/>
    </w:p>
    <w:p w14:paraId="1DD88277" w14:textId="345C6928" w:rsidR="00B65436" w:rsidRPr="00B65436" w:rsidRDefault="00B65436" w:rsidP="00B65436">
      <w:pPr>
        <w:pStyle w:val="BodyText"/>
      </w:pPr>
      <w:r w:rsidRPr="00B65436">
        <w:t>Over the summer of 2021–</w:t>
      </w:r>
      <w:r w:rsidR="00C85692">
        <w:t>20</w:t>
      </w:r>
      <w:r w:rsidRPr="00B65436">
        <w:t xml:space="preserve">22, very high transmission rates due to the Omicron variant disrupted how audiences engaged with arts and culture yet again. </w:t>
      </w:r>
    </w:p>
    <w:p w14:paraId="1611D870" w14:textId="28C5E856" w:rsidR="00B65436" w:rsidRPr="00B65436" w:rsidRDefault="00B65436" w:rsidP="00B65436">
      <w:pPr>
        <w:pStyle w:val="BodyText"/>
      </w:pPr>
      <w:r w:rsidRPr="00B65436">
        <w:t>Due to its rapid spread, not only were live performances cancelled or postponed due to cast, crew and staff contracting the virus, but audiences cancelled their tickets as they were hesitant to attend events.</w:t>
      </w:r>
      <w:r w:rsidR="0043398B">
        <w:rPr>
          <w:rFonts w:ascii="ZWAdobeF" w:hAnsi="ZWAdobeF" w:cs="ZWAdobeF"/>
          <w:sz w:val="2"/>
          <w:szCs w:val="2"/>
        </w:rPr>
        <w:t>47F</w:t>
      </w:r>
      <w:r w:rsidRPr="00B65436">
        <w:rPr>
          <w:vertAlign w:val="superscript"/>
        </w:rPr>
        <w:footnoteReference w:id="49"/>
      </w:r>
    </w:p>
    <w:p w14:paraId="45A905EC" w14:textId="4B6EE10A" w:rsidR="00B65436" w:rsidRPr="00B65436" w:rsidRDefault="00B65436" w:rsidP="00B65436">
      <w:pPr>
        <w:pStyle w:val="BodyText"/>
      </w:pPr>
      <w:r w:rsidRPr="00B65436">
        <w:t>In December 2021, OzTix revealed over 300 events had been rescheduled, postponed or cancelled over the Christmas period.</w:t>
      </w:r>
      <w:r w:rsidR="0043398B">
        <w:rPr>
          <w:rFonts w:ascii="ZWAdobeF" w:hAnsi="ZWAdobeF" w:cs="ZWAdobeF"/>
          <w:sz w:val="2"/>
          <w:szCs w:val="2"/>
        </w:rPr>
        <w:t>48F</w:t>
      </w:r>
      <w:r w:rsidRPr="00B65436">
        <w:rPr>
          <w:vertAlign w:val="superscript"/>
        </w:rPr>
        <w:footnoteReference w:id="50"/>
      </w:r>
    </w:p>
    <w:p w14:paraId="00550249" w14:textId="63068CE2" w:rsidR="00B65436" w:rsidRPr="00B65436" w:rsidRDefault="00B65436" w:rsidP="00B65436">
      <w:pPr>
        <w:pStyle w:val="BodyText"/>
      </w:pPr>
      <w:r w:rsidRPr="00B65436">
        <w:t xml:space="preserve">With Omicron, vaccination alone has been insufficient to prevent transmission, and additional measures such as capacity limits, masks and outdoor events </w:t>
      </w:r>
      <w:r w:rsidR="0001475E">
        <w:t>were</w:t>
      </w:r>
      <w:r w:rsidRPr="00B65436">
        <w:t xml:space="preserve"> identified as potentially helpful in assisting audiences to feel safer returning to live arts and cultural engagement. </w:t>
      </w:r>
    </w:p>
    <w:p w14:paraId="58454BF0" w14:textId="77BC2681" w:rsidR="00B65436" w:rsidRPr="00B65436" w:rsidRDefault="00B65436" w:rsidP="00B65436">
      <w:pPr>
        <w:pStyle w:val="BodyText"/>
      </w:pPr>
      <w:r w:rsidRPr="00B65436">
        <w:t>Ticket buying data trends across arts and sport</w:t>
      </w:r>
      <w:r w:rsidR="0043398B">
        <w:rPr>
          <w:rFonts w:ascii="ZWAdobeF" w:hAnsi="ZWAdobeF" w:cs="ZWAdobeF"/>
          <w:sz w:val="2"/>
          <w:szCs w:val="2"/>
        </w:rPr>
        <w:t>49F</w:t>
      </w:r>
      <w:r w:rsidRPr="00B65436">
        <w:rPr>
          <w:vertAlign w:val="superscript"/>
        </w:rPr>
        <w:footnoteReference w:id="51"/>
      </w:r>
      <w:r w:rsidRPr="00B65436">
        <w:t xml:space="preserve"> show the overall number of ticket buyers in Australia was much lower in 2019–20 and 2021–22 than previous years, with many more people buying no tickets at all during COVID-19. However, avid arts goers continued to attend live events and continued to travel to attend events.</w:t>
      </w:r>
    </w:p>
    <w:p w14:paraId="757F107A" w14:textId="77777777" w:rsidR="00B65436" w:rsidRPr="00B65436" w:rsidRDefault="00B65436" w:rsidP="00B65436">
      <w:pPr>
        <w:pStyle w:val="BodyText"/>
      </w:pPr>
    </w:p>
    <w:p w14:paraId="26A7FBD4" w14:textId="7382D87B" w:rsidR="00B65436" w:rsidRPr="00B65436" w:rsidRDefault="00B65436" w:rsidP="000D6862">
      <w:pPr>
        <w:pStyle w:val="Heading3"/>
      </w:pPr>
      <w:bookmarkStart w:id="80" w:name="_Toc103346862"/>
      <w:bookmarkStart w:id="81" w:name="_Toc103771376"/>
      <w:bookmarkStart w:id="82" w:name="_Toc103931825"/>
      <w:bookmarkStart w:id="83" w:name="_Toc103943204"/>
      <w:r w:rsidRPr="00B65436">
        <w:t>Attendance levels are increasing as audiences ‘live with the virus’</w:t>
      </w:r>
      <w:bookmarkEnd w:id="80"/>
      <w:bookmarkEnd w:id="81"/>
      <w:bookmarkEnd w:id="82"/>
      <w:bookmarkEnd w:id="83"/>
      <w:r w:rsidRPr="00B65436">
        <w:t xml:space="preserve"> </w:t>
      </w:r>
    </w:p>
    <w:p w14:paraId="1574AFE3" w14:textId="6EAE8C17" w:rsidR="00B65436" w:rsidRPr="00B65436" w:rsidRDefault="00B65436" w:rsidP="00B65436">
      <w:pPr>
        <w:pStyle w:val="BodyText"/>
      </w:pPr>
      <w:r w:rsidRPr="00B65436">
        <w:t xml:space="preserve">Following the January 2022 peak of the Omicron variant, Australians continued to grow accustomed to ‘living with the virus’, with data suggesting that arts and cultural attendance levels are increasing.  </w:t>
      </w:r>
    </w:p>
    <w:p w14:paraId="388C4FF6" w14:textId="081E15F5" w:rsidR="00B65436" w:rsidRPr="00B65436" w:rsidRDefault="00B65436" w:rsidP="00B65436">
      <w:pPr>
        <w:pStyle w:val="BodyText"/>
      </w:pPr>
      <w:r w:rsidRPr="00B65436">
        <w:t>The March 2022 phase of data collection for the Audience Outlook Monitor showed, nationally, 7 in 10 (70%) audience members were attending in person events ‘right now’, compared to November 2021 where 29% (Delta-outbreak affected states) and 74% (rest of the country) were attending. This figure is the highest national rate of attendance seen since March 2021 (71%), prior to 2021 Delta outbreaks in the eastern states.</w:t>
      </w:r>
      <w:r w:rsidR="0043398B">
        <w:rPr>
          <w:rFonts w:ascii="ZWAdobeF" w:hAnsi="ZWAdobeF" w:cs="ZWAdobeF"/>
          <w:sz w:val="2"/>
          <w:szCs w:val="2"/>
        </w:rPr>
        <w:t>50F</w:t>
      </w:r>
      <w:r w:rsidRPr="00B65436">
        <w:rPr>
          <w:vertAlign w:val="superscript"/>
        </w:rPr>
        <w:footnoteReference w:id="52"/>
      </w:r>
      <w:r w:rsidRPr="00B65436">
        <w:t xml:space="preserve"> </w:t>
      </w:r>
    </w:p>
    <w:p w14:paraId="79E4688E" w14:textId="1234C0A6" w:rsidR="00B65436" w:rsidRPr="00B65436" w:rsidRDefault="00B65436" w:rsidP="00B65436">
      <w:pPr>
        <w:pStyle w:val="BodyText"/>
      </w:pPr>
      <w:r w:rsidRPr="00B65436">
        <w:t>Confidence levels across the country are gradually aligning as COVID-19 policies nationalise. States such as NSW, ACT and VIC have seen confidence levels rise, whilst states with newly-opened borders, like WA, experienced a decline in confidence.</w:t>
      </w:r>
    </w:p>
    <w:p w14:paraId="4A8C07C5" w14:textId="053D0B7C" w:rsidR="00B65436" w:rsidRPr="00B65436" w:rsidRDefault="00B65436" w:rsidP="00B65436">
      <w:pPr>
        <w:pStyle w:val="BodyText"/>
      </w:pPr>
      <w:r w:rsidRPr="00B65436">
        <w:t>Nationally, 7 in 10 (70%) audiences members said they attended an in person event recently, compared to November 2021 where 29% (Delta-outbreak affected states) and 74% (rest of the country) were attending. Nationally, the March 2022 figure is the highest rate of attendance seen since March 2021 (71%) prior to 2021 Delta outbreaks in the eastern states.</w:t>
      </w:r>
      <w:r w:rsidRPr="00B65436">
        <w:rPr>
          <w:vertAlign w:val="superscript"/>
        </w:rPr>
        <w:t xml:space="preserve"> </w:t>
      </w:r>
      <w:r w:rsidR="0043398B">
        <w:rPr>
          <w:rFonts w:ascii="ZWAdobeF" w:hAnsi="ZWAdobeF" w:cs="ZWAdobeF"/>
          <w:sz w:val="2"/>
          <w:szCs w:val="2"/>
        </w:rPr>
        <w:t>51F</w:t>
      </w:r>
      <w:r w:rsidRPr="00B65436">
        <w:rPr>
          <w:vertAlign w:val="superscript"/>
        </w:rPr>
        <w:footnoteReference w:id="53"/>
      </w:r>
      <w:r w:rsidRPr="00B65436">
        <w:t>  </w:t>
      </w:r>
    </w:p>
    <w:p w14:paraId="7912F7E4" w14:textId="11EE3F5C" w:rsidR="00B65436" w:rsidRPr="00B65436" w:rsidRDefault="00B65436" w:rsidP="00B65436">
      <w:pPr>
        <w:pStyle w:val="BodyText"/>
      </w:pPr>
      <w:r w:rsidRPr="00B65436">
        <w:lastRenderedPageBreak/>
        <w:t>However, while the majority of audiences have received three shots of a COVID-19 vaccine (87%), attendance continues to be inhibited for many by the risks of transmission (52%) or being a close contact (43%).</w:t>
      </w:r>
      <w:r w:rsidR="0043398B">
        <w:rPr>
          <w:rFonts w:ascii="ZWAdobeF" w:hAnsi="ZWAdobeF" w:cs="ZWAdobeF"/>
          <w:sz w:val="2"/>
          <w:szCs w:val="2"/>
        </w:rPr>
        <w:t>52F</w:t>
      </w:r>
      <w:r w:rsidRPr="00B65436">
        <w:rPr>
          <w:vertAlign w:val="superscript"/>
        </w:rPr>
        <w:footnoteReference w:id="54"/>
      </w:r>
      <w:r w:rsidRPr="00B65436">
        <w:t xml:space="preserve"> </w:t>
      </w:r>
    </w:p>
    <w:p w14:paraId="67BCD22C" w14:textId="7C015F72" w:rsidR="00B65436" w:rsidRPr="00B65436" w:rsidRDefault="00B65436" w:rsidP="00B65436">
      <w:pPr>
        <w:pStyle w:val="BodyText"/>
      </w:pPr>
      <w:r w:rsidRPr="00B65436">
        <w:t>Audiences expressed concerned about transmitting the virus to those at-risk in their community – and 49% identif</w:t>
      </w:r>
      <w:r w:rsidR="00F24062">
        <w:t>ied</w:t>
      </w:r>
      <w:r w:rsidRPr="00B65436">
        <w:t xml:space="preserve"> as being vulnerable to COVID-19 themselves or having someone in their household or network who is. Some audience segments remain especially cautious, particularly those at risk of a serious health outcome (39% ready to attend) and those with a disability (43% ready to attend).</w:t>
      </w:r>
      <w:r w:rsidR="0043398B">
        <w:rPr>
          <w:rFonts w:ascii="ZWAdobeF" w:hAnsi="ZWAdobeF" w:cs="ZWAdobeF"/>
          <w:sz w:val="2"/>
          <w:szCs w:val="2"/>
        </w:rPr>
        <w:t>53F</w:t>
      </w:r>
      <w:r w:rsidRPr="00B65436">
        <w:rPr>
          <w:vertAlign w:val="superscript"/>
        </w:rPr>
        <w:footnoteReference w:id="55"/>
      </w:r>
      <w:r w:rsidRPr="00B65436">
        <w:t xml:space="preserve"> </w:t>
      </w:r>
    </w:p>
    <w:p w14:paraId="51D7D500" w14:textId="2BA92B1E" w:rsidR="00B65436" w:rsidRPr="00B65436" w:rsidRDefault="00B65436" w:rsidP="00B65436">
      <w:pPr>
        <w:pStyle w:val="BodyText"/>
      </w:pPr>
      <w:r w:rsidRPr="00B65436">
        <w:t>But, while 4 in 10 (38%) have some level of risk-aversion to attending in person events,</w:t>
      </w:r>
      <w:r w:rsidR="0043398B">
        <w:rPr>
          <w:rFonts w:ascii="ZWAdobeF" w:hAnsi="ZWAdobeF" w:cs="ZWAdobeF"/>
          <w:sz w:val="2"/>
          <w:szCs w:val="2"/>
        </w:rPr>
        <w:t>54F</w:t>
      </w:r>
      <w:r w:rsidRPr="00B65436">
        <w:rPr>
          <w:vertAlign w:val="superscript"/>
        </w:rPr>
        <w:footnoteReference w:id="56"/>
      </w:r>
      <w:r w:rsidRPr="00B65436">
        <w:t xml:space="preserve"> this is down from November 2021. Findings from November 2021 showed 47% of audiences in outbreak-affected states were waiting to attend cultural events until ‘reasonably confident that the risk of transmission is minimal.’</w:t>
      </w:r>
      <w:r w:rsidR="0043398B">
        <w:rPr>
          <w:rFonts w:ascii="ZWAdobeF" w:hAnsi="ZWAdobeF" w:cs="ZWAdobeF"/>
          <w:sz w:val="2"/>
          <w:szCs w:val="2"/>
        </w:rPr>
        <w:t>55F</w:t>
      </w:r>
      <w:r w:rsidRPr="00B65436">
        <w:rPr>
          <w:vertAlign w:val="superscript"/>
        </w:rPr>
        <w:footnoteReference w:id="57"/>
      </w:r>
    </w:p>
    <w:p w14:paraId="601333DE" w14:textId="77777777" w:rsidR="00B65436" w:rsidRPr="00B65436" w:rsidRDefault="00B65436" w:rsidP="00B65436">
      <w:pPr>
        <w:pStyle w:val="BodyText"/>
      </w:pPr>
      <w:r w:rsidRPr="00B65436">
        <w:t>Sentiment among those who are ‘ready to attend’ suggests that audiences are becoming more comfortable with the prospect of ‘living with virus’ and attending arts and cultural events while taking necessary precautions. </w:t>
      </w:r>
    </w:p>
    <w:p w14:paraId="5BB9C7CE" w14:textId="13E7E9E1" w:rsidR="00B65436" w:rsidRDefault="00B65436" w:rsidP="00B65436">
      <w:pPr>
        <w:pStyle w:val="BodyText"/>
      </w:pPr>
      <w:r w:rsidRPr="00B65436">
        <w:t>The mid-year 2022 phase of data collection for the Audience Outlook Monitor will provide further insight into the sentiments and behaviours of audiences in the third year of the pandemic,</w:t>
      </w:r>
      <w:r w:rsidR="0043398B">
        <w:rPr>
          <w:rFonts w:ascii="ZWAdobeF" w:hAnsi="ZWAdobeF" w:cs="ZWAdobeF"/>
          <w:sz w:val="2"/>
          <w:szCs w:val="2"/>
        </w:rPr>
        <w:t>56F</w:t>
      </w:r>
      <w:r w:rsidRPr="00B65436">
        <w:rPr>
          <w:vertAlign w:val="superscript"/>
        </w:rPr>
        <w:footnoteReference w:id="58"/>
      </w:r>
      <w:r w:rsidRPr="00B65436">
        <w:rPr>
          <w:vertAlign w:val="superscript"/>
        </w:rPr>
        <w:t xml:space="preserve"> </w:t>
      </w:r>
      <w:r w:rsidRPr="00B65436">
        <w:t>particularly as transmission rates rise but restrictions are eased.</w:t>
      </w:r>
    </w:p>
    <w:p w14:paraId="37F30BBD" w14:textId="0216170C" w:rsidR="00936CEB" w:rsidRDefault="00936CEB" w:rsidP="00B65436">
      <w:pPr>
        <w:pStyle w:val="BodyText"/>
      </w:pPr>
    </w:p>
    <w:p w14:paraId="48344399" w14:textId="77777777" w:rsidR="001561DB" w:rsidRDefault="001561DB">
      <w:pPr>
        <w:spacing w:before="80" w:after="80"/>
        <w:rPr>
          <w:rFonts w:asciiTheme="majorHAnsi" w:eastAsia="Times New Roman" w:hAnsiTheme="majorHAnsi" w:cs="Arial"/>
          <w:b/>
          <w:bCs/>
          <w:color w:val="660066" w:themeColor="accent3"/>
          <w:kern w:val="32"/>
          <w:sz w:val="30"/>
          <w:szCs w:val="42"/>
          <w:lang w:eastAsia="en-AU"/>
        </w:rPr>
      </w:pPr>
      <w:bookmarkStart w:id="84" w:name="_Toc103943205"/>
      <w:r>
        <w:br w:type="page"/>
      </w:r>
    </w:p>
    <w:p w14:paraId="247EE27B" w14:textId="33FE9203" w:rsidR="00936CEB" w:rsidRDefault="00936CEB" w:rsidP="00936CEB">
      <w:pPr>
        <w:pStyle w:val="Heading1"/>
      </w:pPr>
      <w:r>
        <w:lastRenderedPageBreak/>
        <w:t>Impacts: Cultural and creative industries</w:t>
      </w:r>
      <w:bookmarkEnd w:id="84"/>
    </w:p>
    <w:p w14:paraId="308E7894" w14:textId="77777777" w:rsidR="00D242A5" w:rsidRPr="000D6862" w:rsidRDefault="00D242A5" w:rsidP="000D6862">
      <w:pPr>
        <w:pStyle w:val="Heading3"/>
      </w:pPr>
      <w:bookmarkStart w:id="85" w:name="_Toc97273398"/>
      <w:bookmarkStart w:id="86" w:name="_Toc97279974"/>
      <w:bookmarkStart w:id="87" w:name="_Toc97280153"/>
      <w:bookmarkStart w:id="88" w:name="_Toc97565252"/>
      <w:bookmarkStart w:id="89" w:name="_Toc103346864"/>
      <w:bookmarkStart w:id="90" w:name="_Toc103771378"/>
      <w:bookmarkStart w:id="91" w:name="_Toc103931827"/>
      <w:bookmarkStart w:id="92" w:name="_Toc103943206"/>
      <w:r w:rsidRPr="000D6862">
        <w:t xml:space="preserve">Prior to COVID-19, Australia’s cultural and creative industries were </w:t>
      </w:r>
      <w:bookmarkEnd w:id="85"/>
      <w:bookmarkEnd w:id="86"/>
      <w:bookmarkEnd w:id="87"/>
      <w:r w:rsidRPr="000D6862">
        <w:t>strong and growing</w:t>
      </w:r>
      <w:bookmarkEnd w:id="88"/>
      <w:bookmarkEnd w:id="89"/>
      <w:bookmarkEnd w:id="90"/>
      <w:bookmarkEnd w:id="91"/>
      <w:bookmarkEnd w:id="92"/>
    </w:p>
    <w:p w14:paraId="64B49AE2" w14:textId="0EFD1380" w:rsidR="00D242A5" w:rsidRDefault="00D242A5" w:rsidP="00663A28">
      <w:pPr>
        <w:pStyle w:val="BodyText"/>
      </w:pPr>
      <w:r w:rsidRPr="00A762AC">
        <w:rPr>
          <w:rStyle w:val="normaltextrun"/>
          <w:rFonts w:cs="Arial"/>
          <w:color w:val="000000"/>
        </w:rPr>
        <w:t xml:space="preserve">Australia’s cultural and creative industries are substantial in size </w:t>
      </w:r>
      <w:r>
        <w:rPr>
          <w:rStyle w:val="normaltextrun"/>
          <w:rFonts w:cs="Arial"/>
          <w:color w:val="000000"/>
        </w:rPr>
        <w:t>and, b</w:t>
      </w:r>
      <w:r>
        <w:t>efore the pandemic</w:t>
      </w:r>
      <w:r w:rsidRPr="00A762AC">
        <w:t>, cultural and creative activity in Australia contribute</w:t>
      </w:r>
      <w:r>
        <w:t>d</w:t>
      </w:r>
      <w:r w:rsidRPr="00A762AC">
        <w:t xml:space="preserve"> </w:t>
      </w:r>
      <w:r w:rsidRPr="004A0554">
        <w:rPr>
          <w:bCs/>
        </w:rPr>
        <w:t>$115.</w:t>
      </w:r>
      <w:r w:rsidR="004034D5">
        <w:rPr>
          <w:bCs/>
        </w:rPr>
        <w:t>8</w:t>
      </w:r>
      <w:r w:rsidR="00AD3EE2">
        <w:rPr>
          <w:bCs/>
        </w:rPr>
        <w:t xml:space="preserve"> </w:t>
      </w:r>
      <w:r w:rsidRPr="004A0554">
        <w:rPr>
          <w:bCs/>
        </w:rPr>
        <w:t>b</w:t>
      </w:r>
      <w:r w:rsidR="00AD3EE2">
        <w:rPr>
          <w:bCs/>
        </w:rPr>
        <w:t>illion</w:t>
      </w:r>
      <w:r w:rsidRPr="004A0554">
        <w:rPr>
          <w:bCs/>
        </w:rPr>
        <w:t>, or 6.3% of GDP.</w:t>
      </w:r>
      <w:r w:rsidR="0043398B">
        <w:rPr>
          <w:rFonts w:ascii="ZWAdobeF" w:hAnsi="ZWAdobeF" w:cs="ZWAdobeF"/>
          <w:bCs/>
          <w:sz w:val="2"/>
          <w:szCs w:val="2"/>
        </w:rPr>
        <w:t>57F</w:t>
      </w:r>
      <w:r w:rsidRPr="004A0554">
        <w:rPr>
          <w:rStyle w:val="FootnoteReference"/>
          <w:bCs/>
        </w:rPr>
        <w:footnoteReference w:id="59"/>
      </w:r>
      <w:r w:rsidRPr="00A762AC">
        <w:t xml:space="preserve"> It is 93% higher than agriculture, forestry and fishing; and more than double the contribution of accommodation and food services.</w:t>
      </w:r>
      <w:r w:rsidR="0043398B">
        <w:rPr>
          <w:rFonts w:ascii="ZWAdobeF" w:hAnsi="ZWAdobeF" w:cs="ZWAdobeF"/>
          <w:sz w:val="2"/>
          <w:szCs w:val="2"/>
        </w:rPr>
        <w:t>58F</w:t>
      </w:r>
      <w:r w:rsidRPr="00A762AC">
        <w:rPr>
          <w:rStyle w:val="FootnoteReference"/>
        </w:rPr>
        <w:footnoteReference w:id="60"/>
      </w:r>
    </w:p>
    <w:p w14:paraId="7FA6B720" w14:textId="77777777" w:rsidR="00D242A5" w:rsidRPr="00D242A5" w:rsidRDefault="00D242A5" w:rsidP="00663A28">
      <w:pPr>
        <w:pStyle w:val="BodyText"/>
        <w:rPr>
          <w:rStyle w:val="normaltextrun"/>
          <w:color w:val="000000"/>
        </w:rPr>
      </w:pPr>
      <w:r w:rsidRPr="00D242A5">
        <w:rPr>
          <w:rStyle w:val="normaltextrun"/>
          <w:rFonts w:cs="Arial"/>
          <w:color w:val="000000"/>
        </w:rPr>
        <w:t xml:space="preserve">Arts and creativity drive many other industries including tourism and hospitality, and benefits an enormous number of businesses: from cafes and restaurants to accommodation and travel operators. </w:t>
      </w:r>
      <w:r w:rsidRPr="00D242A5">
        <w:rPr>
          <w:rStyle w:val="normaltextrun"/>
        </w:rPr>
        <w:t>The value the cultural and creative industries provide to the economy is similar to education and training.</w:t>
      </w:r>
    </w:p>
    <w:p w14:paraId="39CC3D76" w14:textId="7946F7BB" w:rsidR="00D242A5" w:rsidRDefault="00D242A5" w:rsidP="00663A28">
      <w:pPr>
        <w:pStyle w:val="BodyText"/>
        <w:rPr>
          <w:rStyle w:val="eop"/>
          <w:rFonts w:ascii="Arial" w:hAnsi="Arial" w:cs="Arial"/>
        </w:rPr>
      </w:pPr>
      <w:r w:rsidRPr="00D242A5">
        <w:rPr>
          <w:rStyle w:val="normaltextrun"/>
          <w:rFonts w:cs="Arial"/>
          <w:color w:val="000000"/>
        </w:rPr>
        <w:t xml:space="preserve">Prior to border closures, arts and cultural tourism had become a substantial – and growing – driver for domestic tourism. </w:t>
      </w:r>
      <w:r w:rsidRPr="00D242A5">
        <w:rPr>
          <w:rStyle w:val="normaltextrun"/>
          <w:color w:val="000000"/>
        </w:rPr>
        <w:t>More domestic tourists attended the arts than organised sport, amusement parks or wineries.</w:t>
      </w:r>
      <w:r w:rsidRPr="00D242A5">
        <w:rPr>
          <w:rStyle w:val="normaltextrun"/>
          <w:rFonts w:cs="Arial"/>
          <w:color w:val="000000"/>
        </w:rPr>
        <w:t xml:space="preserve"> Arts and cultural activity drew ‘high-value’ travellers (likely to spend more, go further and stay longer) to cities and regions across the country to discover new experiences, great traditions and unique cultural forms from festivals to regional galleries, studio tours to site-specific concerts</w:t>
      </w:r>
      <w:r w:rsidRPr="00A762AC">
        <w:rPr>
          <w:rStyle w:val="normaltextrun"/>
          <w:rFonts w:ascii="Arial" w:hAnsi="Arial" w:cs="Arial"/>
        </w:rPr>
        <w:t>.</w:t>
      </w:r>
      <w:r w:rsidR="0043398B">
        <w:rPr>
          <w:rStyle w:val="normaltextrun"/>
          <w:rFonts w:ascii="ZWAdobeF" w:hAnsi="ZWAdobeF" w:cs="ZWAdobeF"/>
          <w:sz w:val="2"/>
          <w:szCs w:val="2"/>
        </w:rPr>
        <w:t>59F</w:t>
      </w:r>
      <w:r w:rsidRPr="00D242A5">
        <w:rPr>
          <w:rStyle w:val="FootnoteReference"/>
        </w:rPr>
        <w:footnoteReference w:id="61"/>
      </w:r>
      <w:r>
        <w:rPr>
          <w:rStyle w:val="normaltextrun"/>
          <w:rFonts w:ascii="Arial" w:hAnsi="Arial" w:cs="Arial"/>
        </w:rPr>
        <w:t xml:space="preserve"> </w:t>
      </w:r>
      <w:r w:rsidRPr="00D242A5">
        <w:rPr>
          <w:rStyle w:val="normaltextrun"/>
          <w:color w:val="000000"/>
        </w:rPr>
        <w:t>The arts were also increasingly on the itinerary for international visitors.</w:t>
      </w:r>
      <w:r w:rsidR="0043398B">
        <w:rPr>
          <w:rStyle w:val="normaltextrun"/>
          <w:rFonts w:ascii="ZWAdobeF" w:hAnsi="ZWAdobeF" w:cs="ZWAdobeF"/>
          <w:sz w:val="2"/>
          <w:szCs w:val="2"/>
        </w:rPr>
        <w:t>60F</w:t>
      </w:r>
      <w:r w:rsidRPr="00D242A5">
        <w:rPr>
          <w:rStyle w:val="FootnoteReference"/>
        </w:rPr>
        <w:footnoteReference w:id="62"/>
      </w:r>
    </w:p>
    <w:p w14:paraId="6B5EB500" w14:textId="75F5ED33" w:rsidR="00D242A5" w:rsidRPr="00A762AC" w:rsidRDefault="00D242A5" w:rsidP="00D242A5">
      <w:pPr>
        <w:pStyle w:val="BodyText"/>
        <w:rPr>
          <w:rStyle w:val="normaltextrun"/>
          <w:rFonts w:ascii="Arial" w:hAnsi="Arial" w:cs="Arial"/>
        </w:rPr>
      </w:pPr>
      <w:r w:rsidRPr="00D242A5">
        <w:rPr>
          <w:rStyle w:val="normaltextrun"/>
          <w:rFonts w:cs="Arial"/>
          <w:color w:val="000000"/>
        </w:rPr>
        <w:t>Our cultural and creative industries are also rich in human capital. Before the pandemic, in 2016, more than 645,000 people (6% of the workforce) worked in the cultural and creative industries in Australia as their main industry of employment.</w:t>
      </w:r>
      <w:r w:rsidR="0043398B">
        <w:rPr>
          <w:rStyle w:val="normaltextrun"/>
          <w:rFonts w:ascii="ZWAdobeF" w:hAnsi="ZWAdobeF" w:cs="ZWAdobeF"/>
          <w:sz w:val="2"/>
          <w:szCs w:val="2"/>
        </w:rPr>
        <w:t>61F</w:t>
      </w:r>
      <w:r w:rsidRPr="00D242A5">
        <w:rPr>
          <w:rStyle w:val="FootnoteReference"/>
        </w:rPr>
        <w:footnoteReference w:id="63"/>
      </w:r>
      <w:r w:rsidRPr="00D242A5">
        <w:rPr>
          <w:rStyle w:val="FootnoteReference"/>
        </w:rPr>
        <w:t xml:space="preserve"> </w:t>
      </w:r>
      <w:r w:rsidRPr="00D242A5">
        <w:rPr>
          <w:rStyle w:val="normaltextrun"/>
          <w:rFonts w:cs="Arial"/>
          <w:color w:val="000000"/>
        </w:rPr>
        <w:t>This is over three times the mining industry and more than 15 times aviation.</w:t>
      </w:r>
      <w:r w:rsidR="0043398B">
        <w:rPr>
          <w:rStyle w:val="normaltextrun"/>
          <w:rFonts w:ascii="ZWAdobeF" w:hAnsi="ZWAdobeF" w:cs="ZWAdobeF"/>
          <w:sz w:val="2"/>
          <w:szCs w:val="2"/>
        </w:rPr>
        <w:t>62F</w:t>
      </w:r>
      <w:r w:rsidRPr="00D242A5">
        <w:rPr>
          <w:rStyle w:val="FootnoteReference"/>
        </w:rPr>
        <w:footnoteReference w:id="64"/>
      </w:r>
      <w:r w:rsidRPr="00D242A5">
        <w:rPr>
          <w:rStyle w:val="FootnoteReference"/>
        </w:rPr>
        <w:t xml:space="preserve"> </w:t>
      </w:r>
    </w:p>
    <w:p w14:paraId="2B52B8BD" w14:textId="02CE6396" w:rsidR="00D242A5" w:rsidRDefault="00D242A5" w:rsidP="00D242A5">
      <w:pPr>
        <w:pStyle w:val="BodyText"/>
        <w:rPr>
          <w:rStyle w:val="normaltextrun"/>
          <w:rFonts w:ascii="Arial" w:hAnsi="Arial" w:cs="Arial"/>
        </w:rPr>
      </w:pPr>
      <w:r w:rsidRPr="00D242A5">
        <w:rPr>
          <w:rStyle w:val="normaltextrun"/>
          <w:rFonts w:cs="Arial"/>
          <w:color w:val="000000"/>
        </w:rPr>
        <w:t>A further 205,200 people worked in cultural and creative roles in other industries</w:t>
      </w:r>
      <w:r w:rsidRPr="00A762AC">
        <w:rPr>
          <w:rStyle w:val="normaltextrun"/>
          <w:rFonts w:ascii="Arial" w:hAnsi="Arial" w:cs="Arial"/>
        </w:rPr>
        <w:t>.</w:t>
      </w:r>
      <w:r w:rsidR="0043398B">
        <w:rPr>
          <w:rStyle w:val="normaltextrun"/>
          <w:rFonts w:ascii="ZWAdobeF" w:hAnsi="ZWAdobeF" w:cs="ZWAdobeF"/>
          <w:sz w:val="2"/>
          <w:szCs w:val="2"/>
        </w:rPr>
        <w:t>63F</w:t>
      </w:r>
      <w:r w:rsidRPr="00D242A5">
        <w:rPr>
          <w:rStyle w:val="FootnoteReference"/>
        </w:rPr>
        <w:footnoteReference w:id="65"/>
      </w:r>
      <w:r w:rsidRPr="00D242A5">
        <w:rPr>
          <w:rStyle w:val="FootnoteReference"/>
        </w:rPr>
        <w:t xml:space="preserve"> </w:t>
      </w:r>
      <w:r w:rsidRPr="00A762AC">
        <w:rPr>
          <w:rStyle w:val="normaltextrun"/>
          <w:rFonts w:ascii="Arial" w:hAnsi="Arial" w:cs="Arial"/>
        </w:rPr>
        <w:t>170,200 businesses were operating within Australia’s cultural and creative industries in 2020.</w:t>
      </w:r>
      <w:r w:rsidR="0043398B">
        <w:rPr>
          <w:rStyle w:val="normaltextrun"/>
          <w:rFonts w:ascii="ZWAdobeF" w:hAnsi="ZWAdobeF" w:cs="ZWAdobeF"/>
          <w:sz w:val="2"/>
          <w:szCs w:val="2"/>
        </w:rPr>
        <w:t>64F</w:t>
      </w:r>
      <w:r w:rsidRPr="00D242A5">
        <w:rPr>
          <w:rStyle w:val="FootnoteReference"/>
        </w:rPr>
        <w:footnoteReference w:id="66"/>
      </w:r>
    </w:p>
    <w:p w14:paraId="068F39CC" w14:textId="77777777" w:rsidR="009D7545" w:rsidRDefault="009D7545" w:rsidP="00D242A5">
      <w:pPr>
        <w:pStyle w:val="BodyText"/>
        <w:rPr>
          <w:rStyle w:val="normaltextrun"/>
          <w:rFonts w:ascii="Arial" w:hAnsi="Arial" w:cs="Arial"/>
        </w:rPr>
      </w:pPr>
    </w:p>
    <w:p w14:paraId="47FE6E3D" w14:textId="77777777" w:rsidR="009D7545" w:rsidRPr="00A762AC" w:rsidRDefault="009D7545" w:rsidP="009D7545">
      <w:pPr>
        <w:pStyle w:val="Heading2"/>
        <w:rPr>
          <w:rStyle w:val="normaltextrun"/>
          <w:rFonts w:ascii="Arial" w:eastAsiaTheme="minorHAnsi" w:hAnsi="Arial" w:cstheme="minorBidi"/>
          <w:szCs w:val="22"/>
          <w:lang w:eastAsia="en-US"/>
        </w:rPr>
      </w:pPr>
      <w:bookmarkStart w:id="93" w:name="_Toc103931828"/>
      <w:bookmarkStart w:id="94" w:name="_Toc103943207"/>
      <w:r>
        <w:rPr>
          <w:rStyle w:val="normaltextrun"/>
          <w:rFonts w:ascii="Arial" w:hAnsi="Arial"/>
        </w:rPr>
        <w:t>Arts and cultural organisations</w:t>
      </w:r>
      <w:bookmarkEnd w:id="93"/>
      <w:bookmarkEnd w:id="94"/>
    </w:p>
    <w:p w14:paraId="7F1C4D32" w14:textId="77777777" w:rsidR="007856BE" w:rsidRPr="000D6862" w:rsidRDefault="007856BE" w:rsidP="007856BE">
      <w:pPr>
        <w:pStyle w:val="Heading3"/>
      </w:pPr>
      <w:bookmarkStart w:id="95" w:name="_Toc97273399"/>
      <w:bookmarkStart w:id="96" w:name="_Toc97279975"/>
      <w:bookmarkStart w:id="97" w:name="_Toc97280154"/>
      <w:bookmarkStart w:id="98" w:name="_Toc97565254"/>
      <w:bookmarkStart w:id="99" w:name="_Toc103346866"/>
      <w:bookmarkStart w:id="100" w:name="_Toc103771380"/>
      <w:bookmarkStart w:id="101" w:name="_Toc103931829"/>
      <w:bookmarkStart w:id="102" w:name="_Toc103943208"/>
      <w:r w:rsidRPr="000D6862">
        <w:t>Immediate closures and cancellations of live events impacted organisations</w:t>
      </w:r>
      <w:bookmarkEnd w:id="95"/>
      <w:bookmarkEnd w:id="96"/>
      <w:bookmarkEnd w:id="97"/>
      <w:bookmarkEnd w:id="98"/>
      <w:bookmarkEnd w:id="99"/>
      <w:bookmarkEnd w:id="100"/>
      <w:bookmarkEnd w:id="101"/>
      <w:bookmarkEnd w:id="102"/>
    </w:p>
    <w:p w14:paraId="7BCA77AA" w14:textId="77777777" w:rsidR="007856BE" w:rsidRDefault="007856BE" w:rsidP="007856BE">
      <w:pPr>
        <w:pStyle w:val="BodyText"/>
        <w:rPr>
          <w:rStyle w:val="normaltextrun"/>
          <w:rFonts w:ascii="Arial" w:hAnsi="Arial"/>
          <w:color w:val="000000"/>
          <w:bdr w:val="none" w:sz="0" w:space="0" w:color="auto" w:frame="1"/>
        </w:rPr>
      </w:pPr>
      <w:r>
        <w:rPr>
          <w:rStyle w:val="BodyTextChar"/>
        </w:rPr>
        <w:t>The cultural</w:t>
      </w:r>
      <w:r w:rsidRPr="00932CDB">
        <w:rPr>
          <w:rStyle w:val="BodyTextChar"/>
        </w:rPr>
        <w:t xml:space="preserve"> </w:t>
      </w:r>
      <w:r>
        <w:rPr>
          <w:rStyle w:val="BodyTextChar"/>
        </w:rPr>
        <w:t xml:space="preserve">and creative </w:t>
      </w:r>
      <w:r w:rsidRPr="00932CDB">
        <w:rPr>
          <w:rStyle w:val="BodyTextChar"/>
        </w:rPr>
        <w:t xml:space="preserve">industries were among the first to be severely impacted by the pandemic </w:t>
      </w:r>
      <w:r>
        <w:rPr>
          <w:rStyle w:val="BodyTextChar"/>
        </w:rPr>
        <w:t>in early 2020. G</w:t>
      </w:r>
      <w:r>
        <w:rPr>
          <w:rStyle w:val="normaltextrun"/>
          <w:rFonts w:ascii="Arial" w:hAnsi="Arial"/>
          <w:color w:val="000000"/>
          <w:bdr w:val="none" w:sz="0" w:space="0" w:color="auto" w:frame="1"/>
        </w:rPr>
        <w:t>atherings of over 500 people were banned on 13 March 2020 and w</w:t>
      </w:r>
      <w:r w:rsidRPr="0057774F">
        <w:rPr>
          <w:rStyle w:val="normaltextrun"/>
          <w:rFonts w:ascii="Arial" w:hAnsi="Arial"/>
          <w:color w:val="000000"/>
          <w:bdr w:val="none" w:sz="0" w:space="0" w:color="auto" w:frame="1"/>
        </w:rPr>
        <w:t>ere</w:t>
      </w:r>
      <w:r>
        <w:rPr>
          <w:rStyle w:val="normaltextrun"/>
          <w:rFonts w:ascii="Arial" w:hAnsi="Arial"/>
          <w:color w:val="000000"/>
          <w:bdr w:val="none" w:sz="0" w:space="0" w:color="auto" w:frame="1"/>
        </w:rPr>
        <w:t xml:space="preserve"> </w:t>
      </w:r>
      <w:r w:rsidRPr="0057774F">
        <w:rPr>
          <w:rStyle w:val="normaltextrun"/>
          <w:rFonts w:ascii="Arial" w:hAnsi="Arial"/>
          <w:color w:val="000000"/>
          <w:bdr w:val="none" w:sz="0" w:space="0" w:color="auto" w:frame="1"/>
        </w:rPr>
        <w:t>subsequently limited to 100, ten and then two people over the second half o</w:t>
      </w:r>
      <w:r>
        <w:rPr>
          <w:rStyle w:val="normaltextrun"/>
          <w:rFonts w:ascii="Arial" w:hAnsi="Arial"/>
          <w:color w:val="000000"/>
          <w:bdr w:val="none" w:sz="0" w:space="0" w:color="auto" w:frame="1"/>
        </w:rPr>
        <w:t>f</w:t>
      </w:r>
      <w:r w:rsidRPr="0057774F">
        <w:rPr>
          <w:rStyle w:val="normaltextrun"/>
          <w:rFonts w:ascii="Arial" w:hAnsi="Arial"/>
          <w:color w:val="000000"/>
          <w:bdr w:val="none" w:sz="0" w:space="0" w:color="auto" w:frame="1"/>
        </w:rPr>
        <w:t xml:space="preserve"> March.</w:t>
      </w:r>
      <w:r>
        <w:rPr>
          <w:rStyle w:val="normaltextrun"/>
          <w:rFonts w:ascii="Arial" w:hAnsi="Arial"/>
          <w:color w:val="000000"/>
          <w:bdr w:val="none" w:sz="0" w:space="0" w:color="auto" w:frame="1"/>
        </w:rPr>
        <w:t xml:space="preserve"> </w:t>
      </w:r>
    </w:p>
    <w:p w14:paraId="215DA261" w14:textId="1CB0B377" w:rsidR="007856BE" w:rsidRPr="00AF00E6" w:rsidRDefault="007856BE" w:rsidP="007856BE">
      <w:pPr>
        <w:pStyle w:val="BodyText"/>
        <w:spacing w:before="170" w:after="170"/>
        <w:rPr>
          <w:rStyle w:val="normaltextrun"/>
        </w:rPr>
      </w:pPr>
      <w:r>
        <w:t>I</w:t>
      </w:r>
      <w:r w:rsidRPr="005B73A4">
        <w:t xml:space="preserve">n March 2020, </w:t>
      </w:r>
      <w:r>
        <w:t>a</w:t>
      </w:r>
      <w:r w:rsidRPr="005B73A4">
        <w:t xml:space="preserve">rts and </w:t>
      </w:r>
      <w:r>
        <w:t>r</w:t>
      </w:r>
      <w:r w:rsidRPr="005B73A4">
        <w:t>ecreation businesses</w:t>
      </w:r>
      <w:r w:rsidR="0043398B">
        <w:rPr>
          <w:rFonts w:ascii="ZWAdobeF" w:hAnsi="ZWAdobeF" w:cs="ZWAdobeF"/>
          <w:sz w:val="2"/>
          <w:szCs w:val="2"/>
        </w:rPr>
        <w:t>65F</w:t>
      </w:r>
      <w:r>
        <w:rPr>
          <w:rStyle w:val="FootnoteReference"/>
        </w:rPr>
        <w:footnoteReference w:id="67"/>
      </w:r>
      <w:r w:rsidRPr="005B73A4">
        <w:t xml:space="preserve"> were the hardest hit by the</w:t>
      </w:r>
      <w:r>
        <w:t xml:space="preserve"> </w:t>
      </w:r>
      <w:r w:rsidRPr="005B73A4">
        <w:t xml:space="preserve">pandemic, with more than half (53%) ceasing to operate in the month </w:t>
      </w:r>
      <w:r>
        <w:t>prior</w:t>
      </w:r>
      <w:r w:rsidRPr="005B73A4">
        <w:t>. This</w:t>
      </w:r>
      <w:r>
        <w:t xml:space="preserve"> </w:t>
      </w:r>
      <w:r w:rsidRPr="005B73A4">
        <w:t xml:space="preserve">compares with the two other industry groups most </w:t>
      </w:r>
      <w:r w:rsidRPr="005B73A4">
        <w:lastRenderedPageBreak/>
        <w:t>impacted at that point –</w:t>
      </w:r>
      <w:r>
        <w:t xml:space="preserve"> a</w:t>
      </w:r>
      <w:r w:rsidRPr="005B73A4">
        <w:t xml:space="preserve">ccommodation and </w:t>
      </w:r>
      <w:r>
        <w:t>f</w:t>
      </w:r>
      <w:r w:rsidRPr="005B73A4">
        <w:t xml:space="preserve">ood </w:t>
      </w:r>
      <w:r>
        <w:t>s</w:t>
      </w:r>
      <w:r w:rsidRPr="005B73A4">
        <w:t xml:space="preserve">ervices (35% closures) and </w:t>
      </w:r>
      <w:r>
        <w:t>i</w:t>
      </w:r>
      <w:r w:rsidRPr="005B73A4">
        <w:t xml:space="preserve">nformation </w:t>
      </w:r>
      <w:r>
        <w:t>m</w:t>
      </w:r>
      <w:r w:rsidRPr="005B73A4">
        <w:t>edia and</w:t>
      </w:r>
      <w:r>
        <w:t xml:space="preserve"> t</w:t>
      </w:r>
      <w:r w:rsidRPr="005B73A4">
        <w:t>elecommunications (31% closures).</w:t>
      </w:r>
      <w:r w:rsidR="0043398B">
        <w:rPr>
          <w:rFonts w:ascii="ZWAdobeF" w:hAnsi="ZWAdobeF" w:cs="ZWAdobeF"/>
          <w:sz w:val="2"/>
          <w:szCs w:val="2"/>
        </w:rPr>
        <w:t>66F</w:t>
      </w:r>
      <w:r>
        <w:rPr>
          <w:rStyle w:val="FootnoteReference"/>
        </w:rPr>
        <w:footnoteReference w:id="68"/>
      </w:r>
    </w:p>
    <w:p w14:paraId="202B3330" w14:textId="06AEB4C8" w:rsidR="007856BE" w:rsidRDefault="007856BE" w:rsidP="007856BE">
      <w:pPr>
        <w:pStyle w:val="BodyText"/>
        <w:spacing w:before="170" w:after="170"/>
      </w:pPr>
      <w:r w:rsidRPr="00F47CA2">
        <w:t xml:space="preserve">In April 2020, </w:t>
      </w:r>
      <w:r>
        <w:t>a</w:t>
      </w:r>
      <w:r w:rsidRPr="00F47CA2">
        <w:t xml:space="preserve">rts and </w:t>
      </w:r>
      <w:r>
        <w:t>r</w:t>
      </w:r>
      <w:r w:rsidRPr="00F47CA2">
        <w:t>ecreation services were the most severely affected industry division,</w:t>
      </w:r>
      <w:r>
        <w:t xml:space="preserve"> </w:t>
      </w:r>
      <w:r w:rsidRPr="00F47CA2">
        <w:t>with 94% of businesses affected by the restrictions, compared to the average of 53%.</w:t>
      </w:r>
      <w:r w:rsidR="0043398B">
        <w:rPr>
          <w:rFonts w:ascii="ZWAdobeF" w:hAnsi="ZWAdobeF" w:cs="ZWAdobeF"/>
          <w:sz w:val="2"/>
          <w:szCs w:val="2"/>
        </w:rPr>
        <w:t>67F</w:t>
      </w:r>
      <w:r>
        <w:rPr>
          <w:rStyle w:val="FootnoteReference"/>
        </w:rPr>
        <w:footnoteReference w:id="69"/>
      </w:r>
      <w:r w:rsidRPr="00F505DA">
        <w:t xml:space="preserve"> </w:t>
      </w:r>
      <w:r w:rsidRPr="007223A8">
        <w:t>Respondents to a survey of</w:t>
      </w:r>
      <w:r>
        <w:t xml:space="preserve"> </w:t>
      </w:r>
      <w:r w:rsidRPr="007223A8">
        <w:t>cultural sector</w:t>
      </w:r>
      <w:r>
        <w:t xml:space="preserve"> </w:t>
      </w:r>
      <w:r w:rsidRPr="007223A8">
        <w:t xml:space="preserve">event producers, presenters, supporters and venue managers reported that by April 2020, 96% had </w:t>
      </w:r>
      <w:r w:rsidRPr="005466C4">
        <w:t>cancelled programs or events and 88% had lost revenue, including sponsorship, private giving and government funding</w:t>
      </w:r>
      <w:r w:rsidRPr="007223A8">
        <w:t>.</w:t>
      </w:r>
      <w:r w:rsidR="0043398B">
        <w:rPr>
          <w:rFonts w:ascii="ZWAdobeF" w:hAnsi="ZWAdobeF" w:cs="ZWAdobeF"/>
          <w:sz w:val="2"/>
          <w:szCs w:val="2"/>
        </w:rPr>
        <w:t>68F</w:t>
      </w:r>
      <w:r>
        <w:rPr>
          <w:rStyle w:val="FootnoteReference"/>
        </w:rPr>
        <w:footnoteReference w:id="70"/>
      </w:r>
    </w:p>
    <w:p w14:paraId="34578B02" w14:textId="775A0FC1" w:rsidR="007856BE" w:rsidRDefault="007856BE" w:rsidP="007856BE">
      <w:pPr>
        <w:pStyle w:val="BodyText"/>
        <w:spacing w:before="170" w:after="170"/>
        <w:rPr>
          <w:rStyle w:val="BodyTextChar"/>
        </w:rPr>
      </w:pPr>
      <w:r>
        <w:t>A</w:t>
      </w:r>
      <w:r w:rsidRPr="00932CDB">
        <w:t>rts and recreation</w:t>
      </w:r>
      <w:r>
        <w:t xml:space="preserve"> </w:t>
      </w:r>
      <w:r w:rsidRPr="00932CDB">
        <w:t>businesses reported further anticipated adverse impacts due to COVID-19 with</w:t>
      </w:r>
      <w:r>
        <w:t xml:space="preserve"> </w:t>
      </w:r>
      <w:r w:rsidRPr="00932CDB">
        <w:t xml:space="preserve">83% reporting </w:t>
      </w:r>
      <w:r w:rsidRPr="004F6952">
        <w:t>reduced demand for goods and services; 84% reporting reduced cash flow; and 71% reporting reduced ability to pay operating</w:t>
      </w:r>
      <w:r w:rsidRPr="00932CDB">
        <w:t xml:space="preserve"> expenses.</w:t>
      </w:r>
      <w:r w:rsidR="0043398B">
        <w:rPr>
          <w:rFonts w:ascii="ZWAdobeF" w:hAnsi="ZWAdobeF" w:cs="ZWAdobeF"/>
          <w:sz w:val="2"/>
          <w:szCs w:val="2"/>
        </w:rPr>
        <w:t>69F</w:t>
      </w:r>
      <w:r>
        <w:rPr>
          <w:rStyle w:val="FootnoteReference"/>
        </w:rPr>
        <w:footnoteReference w:id="71"/>
      </w:r>
    </w:p>
    <w:p w14:paraId="1D7CAC03" w14:textId="551B5AAB" w:rsidR="007856BE" w:rsidRPr="004F6952" w:rsidRDefault="007856BE" w:rsidP="007856BE">
      <w:pPr>
        <w:pStyle w:val="BodyText"/>
        <w:rPr>
          <w:rFonts w:ascii="Arial" w:hAnsi="Arial" w:cs="Arial"/>
        </w:rPr>
      </w:pPr>
      <w:r w:rsidRPr="00932CDB">
        <w:rPr>
          <w:rStyle w:val="BodyTextChar"/>
        </w:rPr>
        <w:t xml:space="preserve">Between 14 March and 2 May 2020, arts and recreation services saw a </w:t>
      </w:r>
      <w:r w:rsidRPr="004E0479">
        <w:rPr>
          <w:rStyle w:val="BodyTextChar"/>
        </w:rPr>
        <w:t>decrease in jobs</w:t>
      </w:r>
      <w:r w:rsidRPr="00932CDB">
        <w:rPr>
          <w:rStyle w:val="BodyTextChar"/>
        </w:rPr>
        <w:t xml:space="preserve"> by 19%, second only to accommodation and food services (27</w:t>
      </w:r>
      <w:r w:rsidRPr="00E052AC">
        <w:rPr>
          <w:rFonts w:ascii="Arial" w:hAnsi="Arial" w:cs="Arial"/>
        </w:rPr>
        <w:t>%).</w:t>
      </w:r>
      <w:r w:rsidR="0043398B">
        <w:rPr>
          <w:rFonts w:ascii="ZWAdobeF" w:hAnsi="ZWAdobeF" w:cs="ZWAdobeF"/>
          <w:sz w:val="2"/>
          <w:szCs w:val="2"/>
        </w:rPr>
        <w:t>70F</w:t>
      </w:r>
      <w:r>
        <w:rPr>
          <w:rStyle w:val="FootnoteReference"/>
          <w:rFonts w:ascii="Arial" w:hAnsi="Arial" w:cs="Arial"/>
        </w:rPr>
        <w:footnoteReference w:id="72"/>
      </w:r>
    </w:p>
    <w:p w14:paraId="52DFB23A" w14:textId="5B156B1F" w:rsidR="007856BE" w:rsidRDefault="007856BE" w:rsidP="007856BE">
      <w:pPr>
        <w:pStyle w:val="BodyText"/>
        <w:rPr>
          <w:rFonts w:ascii="Arial" w:hAnsi="Arial"/>
        </w:rPr>
      </w:pPr>
      <w:r w:rsidRPr="007856BE">
        <w:rPr>
          <w:rStyle w:val="normaltextrun"/>
          <w:rFonts w:ascii="Arial" w:hAnsi="Arial"/>
        </w:rPr>
        <w:t>A range of sector surveys launched in the immediate wake of restrictions on public gathering and travel in March 2020 indicated the amounts of income lost within organisations and businesses across many art forms.</w:t>
      </w:r>
      <w:r w:rsidR="0043398B">
        <w:rPr>
          <w:rStyle w:val="normaltextrun"/>
          <w:rFonts w:ascii="ZWAdobeF" w:hAnsi="ZWAdobeF" w:cs="ZWAdobeF"/>
          <w:sz w:val="2"/>
          <w:szCs w:val="2"/>
        </w:rPr>
        <w:t>71F</w:t>
      </w:r>
      <w:r w:rsidRPr="007856BE">
        <w:rPr>
          <w:rStyle w:val="FootnoteReference"/>
          <w:rFonts w:ascii="Arial" w:hAnsi="Arial"/>
        </w:rPr>
        <w:footnoteReference w:id="73"/>
      </w:r>
      <w:r w:rsidRPr="007856BE">
        <w:rPr>
          <w:rStyle w:val="normaltextrun"/>
          <w:rFonts w:ascii="Arial" w:hAnsi="Arial"/>
        </w:rPr>
        <w:t xml:space="preserve"> Some of these surveys are still ongoing, such as </w:t>
      </w:r>
      <w:r w:rsidRPr="007856BE">
        <w:rPr>
          <w:rStyle w:val="normaltextrun"/>
          <w:rFonts w:ascii="Arial" w:hAnsi="Arial"/>
          <w:i/>
          <w:iCs/>
        </w:rPr>
        <w:t>I Lost My Gig</w:t>
      </w:r>
      <w:r w:rsidRPr="007856BE">
        <w:rPr>
          <w:rStyle w:val="normaltextrun"/>
          <w:rFonts w:ascii="Arial" w:hAnsi="Arial"/>
        </w:rPr>
        <w:t>, which has been tracking the impact of the COVID-19 pandemic on Australia’s live event and entertainment industries weekly since March 2020.</w:t>
      </w:r>
      <w:r w:rsidR="0043398B">
        <w:rPr>
          <w:rStyle w:val="normaltextrun"/>
          <w:rFonts w:ascii="ZWAdobeF" w:hAnsi="ZWAdobeF" w:cs="ZWAdobeF"/>
          <w:sz w:val="2"/>
          <w:szCs w:val="2"/>
        </w:rPr>
        <w:t>72F</w:t>
      </w:r>
      <w:r w:rsidRPr="007856BE">
        <w:rPr>
          <w:rStyle w:val="FootnoteReference"/>
          <w:rFonts w:ascii="Arial" w:hAnsi="Arial"/>
        </w:rPr>
        <w:footnoteReference w:id="74"/>
      </w:r>
      <w:r w:rsidRPr="007856BE">
        <w:rPr>
          <w:rStyle w:val="normaltextrun"/>
          <w:rFonts w:ascii="Arial" w:hAnsi="Arial"/>
        </w:rPr>
        <w:t xml:space="preserve"> For more detail on impacts to income, see ‘</w:t>
      </w:r>
      <w:r w:rsidRPr="007856BE">
        <w:rPr>
          <w:rFonts w:ascii="Arial" w:hAnsi="Arial"/>
        </w:rPr>
        <w:t xml:space="preserve">The ongoing impacts of disruption have affected income flow’ on page </w:t>
      </w:r>
      <w:r w:rsidR="00414495">
        <w:rPr>
          <w:rFonts w:ascii="Arial" w:hAnsi="Arial"/>
        </w:rPr>
        <w:t>18</w:t>
      </w:r>
      <w:r w:rsidRPr="007856BE">
        <w:rPr>
          <w:rFonts w:ascii="Arial" w:hAnsi="Arial"/>
        </w:rPr>
        <w:t xml:space="preserve">. </w:t>
      </w:r>
    </w:p>
    <w:p w14:paraId="4A8C38E5" w14:textId="77777777" w:rsidR="00663A28" w:rsidRPr="007856BE" w:rsidRDefault="00663A28" w:rsidP="007856BE">
      <w:pPr>
        <w:pStyle w:val="BodyText"/>
        <w:rPr>
          <w:rFonts w:ascii="Arial" w:hAnsi="Arial"/>
        </w:rPr>
      </w:pPr>
    </w:p>
    <w:p w14:paraId="37EDDAD6" w14:textId="77777777" w:rsidR="00663A28" w:rsidRPr="00663A28" w:rsidRDefault="00663A28" w:rsidP="000D6862">
      <w:pPr>
        <w:pStyle w:val="Heading3"/>
      </w:pPr>
      <w:bookmarkStart w:id="103" w:name="_Toc97273400"/>
      <w:bookmarkStart w:id="104" w:name="_Toc97279976"/>
      <w:bookmarkStart w:id="105" w:name="_Toc97280155"/>
      <w:bookmarkStart w:id="106" w:name="_Toc97565255"/>
      <w:bookmarkStart w:id="107" w:name="_Toc103346867"/>
      <w:bookmarkStart w:id="108" w:name="_Toc103771381"/>
      <w:bookmarkStart w:id="109" w:name="_Toc103931830"/>
      <w:bookmarkStart w:id="110" w:name="_Toc103943209"/>
      <w:r w:rsidRPr="00663A28">
        <w:t>Creative organisations pivoted to digital to support Australians and financially survive</w:t>
      </w:r>
      <w:bookmarkEnd w:id="103"/>
      <w:bookmarkEnd w:id="104"/>
      <w:bookmarkEnd w:id="105"/>
      <w:bookmarkEnd w:id="106"/>
      <w:bookmarkEnd w:id="107"/>
      <w:bookmarkEnd w:id="108"/>
      <w:bookmarkEnd w:id="109"/>
      <w:bookmarkEnd w:id="110"/>
    </w:p>
    <w:p w14:paraId="3AF12693" w14:textId="77777777" w:rsidR="00663A28" w:rsidRPr="00663A28" w:rsidRDefault="00663A28" w:rsidP="00663A28">
      <w:pPr>
        <w:pStyle w:val="BodyText"/>
      </w:pPr>
      <w:r w:rsidRPr="00663A28">
        <w:t xml:space="preserve">Although Australia’s cultural and creative industries were among the immediately hardest hit by COVID-19, </w:t>
      </w:r>
      <w:r w:rsidRPr="00663A28">
        <w:rPr>
          <w:lang w:val="en-US"/>
        </w:rPr>
        <w:t>arts and cultural organisations</w:t>
      </w:r>
      <w:r w:rsidRPr="00663A28">
        <w:t xml:space="preserve">, workers and artists adapted rapidly to the disruptions of the pandemic, responding in creative ways to increase online engagement and support Australian audiences. </w:t>
      </w:r>
    </w:p>
    <w:p w14:paraId="50619F48" w14:textId="77777777" w:rsidR="00663A28" w:rsidRPr="00663A28" w:rsidRDefault="00663A28" w:rsidP="00663A28">
      <w:pPr>
        <w:pStyle w:val="BodyText"/>
      </w:pPr>
      <w:r w:rsidRPr="00663A28">
        <w:t xml:space="preserve">For instance, Australian Ballet delivered a free cinema-quality digital season of full-length performances and Musica Viva shifted their schools program online, providing alternative resources for Australian teachers. Sydney Dance Company offered accessible online dance classes in their Virtual Studio, supporting health and wellbeing. </w:t>
      </w:r>
    </w:p>
    <w:p w14:paraId="4C286ABE" w14:textId="31FEDE27" w:rsidR="00663A28" w:rsidRPr="00663A28" w:rsidRDefault="00663A28" w:rsidP="00663A28">
      <w:pPr>
        <w:pStyle w:val="BodyText"/>
      </w:pPr>
      <w:r w:rsidRPr="00663A28">
        <w:t>Although Australia’s First Nations arts and cultural sector faced particularly devastating impacts,</w:t>
      </w:r>
      <w:r w:rsidR="0043398B">
        <w:rPr>
          <w:rFonts w:ascii="ZWAdobeF" w:hAnsi="ZWAdobeF" w:cs="ZWAdobeF"/>
          <w:sz w:val="2"/>
          <w:szCs w:val="2"/>
        </w:rPr>
        <w:t>73F</w:t>
      </w:r>
      <w:r w:rsidRPr="00663A28">
        <w:rPr>
          <w:vertAlign w:val="superscript"/>
        </w:rPr>
        <w:footnoteReference w:id="75"/>
      </w:r>
      <w:r w:rsidRPr="00663A28">
        <w:t xml:space="preserve"> First Nations arts and cultural organisations also took advantage of the digital disruptions from COVID-19 and innovated in a changing environment. Anecdotal information suggests that art centres who maximised their online presence and pivoted to an ecommerce model saw improved sales, including during the traditionally quieter summer months.</w:t>
      </w:r>
      <w:r w:rsidR="0043398B">
        <w:rPr>
          <w:rFonts w:ascii="ZWAdobeF" w:hAnsi="ZWAdobeF" w:cs="ZWAdobeF"/>
          <w:sz w:val="2"/>
          <w:szCs w:val="2"/>
        </w:rPr>
        <w:t>74F</w:t>
      </w:r>
      <w:r w:rsidRPr="00663A28">
        <w:rPr>
          <w:vertAlign w:val="superscript"/>
        </w:rPr>
        <w:footnoteReference w:id="76"/>
      </w:r>
    </w:p>
    <w:p w14:paraId="4593CFD8" w14:textId="3661DCF9" w:rsidR="00663A28" w:rsidRPr="00663A28" w:rsidRDefault="00663A28" w:rsidP="00663A28">
      <w:pPr>
        <w:pStyle w:val="BodyText"/>
      </w:pPr>
      <w:r w:rsidRPr="00663A28">
        <w:t>For example, in 2020 Cairns Indigenous Art Fair was forced online due to COVID-19. The fair generated $330k in overall art purchases.</w:t>
      </w:r>
      <w:r w:rsidR="0043398B">
        <w:rPr>
          <w:rFonts w:ascii="ZWAdobeF" w:hAnsi="ZWAdobeF" w:cs="ZWAdobeF"/>
          <w:sz w:val="2"/>
          <w:szCs w:val="2"/>
        </w:rPr>
        <w:t>75F</w:t>
      </w:r>
      <w:r w:rsidRPr="00663A28">
        <w:rPr>
          <w:vertAlign w:val="superscript"/>
        </w:rPr>
        <w:footnoteReference w:id="77"/>
      </w:r>
      <w:r w:rsidRPr="00663A28">
        <w:t xml:space="preserve"> Likewise in 2020 the Darwin Aboriginal Art Fair (DAAF) delivered an </w:t>
      </w:r>
      <w:r w:rsidRPr="00663A28">
        <w:lastRenderedPageBreak/>
        <w:t>online fair. The fair generated over $2.6m in sales, which went directly to art centres and communities.</w:t>
      </w:r>
      <w:r w:rsidR="0043398B">
        <w:rPr>
          <w:rFonts w:ascii="ZWAdobeF" w:hAnsi="ZWAdobeF" w:cs="ZWAdobeF"/>
          <w:sz w:val="2"/>
          <w:szCs w:val="2"/>
        </w:rPr>
        <w:t>76F</w:t>
      </w:r>
      <w:r w:rsidRPr="00663A28">
        <w:rPr>
          <w:vertAlign w:val="superscript"/>
        </w:rPr>
        <w:footnoteReference w:id="78"/>
      </w:r>
      <w:r w:rsidRPr="00663A28">
        <w:t xml:space="preserve"> In 2021, DAAF was once again a completely digital fair and sales totalled $3.12m.</w:t>
      </w:r>
      <w:r w:rsidR="0043398B">
        <w:rPr>
          <w:rFonts w:ascii="ZWAdobeF" w:hAnsi="ZWAdobeF" w:cs="ZWAdobeF"/>
          <w:sz w:val="2"/>
          <w:szCs w:val="2"/>
        </w:rPr>
        <w:t>77F</w:t>
      </w:r>
      <w:r w:rsidRPr="00663A28">
        <w:rPr>
          <w:vertAlign w:val="superscript"/>
        </w:rPr>
        <w:footnoteReference w:id="79"/>
      </w:r>
    </w:p>
    <w:p w14:paraId="52995C9F" w14:textId="77777777" w:rsidR="00663A28" w:rsidRPr="00663A28" w:rsidRDefault="00663A28" w:rsidP="00663A28">
      <w:pPr>
        <w:pStyle w:val="BodyText"/>
      </w:pPr>
      <w:r w:rsidRPr="00663A28">
        <w:t xml:space="preserve">However, while the move to digital allowed many organisations to expand their reach and connect with Australian audiences, making content available online did not necessarily mean cultural collections and creative experiences were ‘unlocked’ for all. </w:t>
      </w:r>
    </w:p>
    <w:p w14:paraId="608320B8" w14:textId="636713D2" w:rsidR="00663A28" w:rsidRPr="00663A28" w:rsidRDefault="00663A28" w:rsidP="00663A28">
      <w:pPr>
        <w:pStyle w:val="BodyText"/>
      </w:pPr>
      <w:r w:rsidRPr="00663A28">
        <w:t xml:space="preserve">The Council’s </w:t>
      </w:r>
      <w:r w:rsidRPr="00663A28">
        <w:rPr>
          <w:i/>
        </w:rPr>
        <w:t>In Real Life</w:t>
      </w:r>
      <w:r w:rsidRPr="00663A28">
        <w:t xml:space="preserve"> report summarised a number of important considerations about this, including the </w:t>
      </w:r>
      <w:r w:rsidRPr="00663A28">
        <w:rPr>
          <w:bCs/>
        </w:rPr>
        <w:t xml:space="preserve">uneven distribution of connectivity across socio-economic groups, ages and geographic locations. The report also found that access to an internet connection does not automatically equal participation (low digital literacy also needs to be addressed) and biases can be replicated or even worsened online if no action is </w:t>
      </w:r>
      <w:r w:rsidRPr="00663A28">
        <w:t>taken to address them (eg minority groups tend to be underrepresented in the art world).</w:t>
      </w:r>
      <w:r w:rsidR="0043398B">
        <w:rPr>
          <w:rFonts w:ascii="ZWAdobeF" w:hAnsi="ZWAdobeF" w:cs="ZWAdobeF"/>
          <w:sz w:val="2"/>
          <w:szCs w:val="2"/>
        </w:rPr>
        <w:t>78F</w:t>
      </w:r>
      <w:r w:rsidRPr="00663A28">
        <w:rPr>
          <w:vertAlign w:val="superscript"/>
        </w:rPr>
        <w:footnoteReference w:id="80"/>
      </w:r>
    </w:p>
    <w:p w14:paraId="218B0E55" w14:textId="0470578E" w:rsidR="00663A28" w:rsidRPr="00663A28" w:rsidRDefault="00663A28" w:rsidP="00663A28">
      <w:pPr>
        <w:pStyle w:val="BodyText"/>
      </w:pPr>
      <w:r w:rsidRPr="00663A28">
        <w:t xml:space="preserve">Research conducted with 73 Australian cultural organisations in the wake of COVID-19 also found </w:t>
      </w:r>
      <w:r w:rsidRPr="00663A28">
        <w:rPr>
          <w:bCs/>
        </w:rPr>
        <w:t>some organisations experienced digital exclusion.</w:t>
      </w:r>
      <w:r w:rsidR="0043398B">
        <w:rPr>
          <w:rFonts w:ascii="ZWAdobeF" w:hAnsi="ZWAdobeF" w:cs="ZWAdobeF"/>
          <w:bCs/>
          <w:sz w:val="2"/>
          <w:szCs w:val="2"/>
        </w:rPr>
        <w:t>79F</w:t>
      </w:r>
      <w:r w:rsidRPr="00663A28">
        <w:rPr>
          <w:bCs/>
          <w:vertAlign w:val="superscript"/>
        </w:rPr>
        <w:footnoteReference w:id="81"/>
      </w:r>
      <w:r w:rsidRPr="00663A28">
        <w:t xml:space="preserve"> State and national institutions </w:t>
      </w:r>
      <w:r w:rsidR="003153A6">
        <w:t>tended to have</w:t>
      </w:r>
      <w:r w:rsidR="003153A6" w:rsidRPr="00663A28">
        <w:t xml:space="preserve"> </w:t>
      </w:r>
      <w:r w:rsidRPr="00663A28">
        <w:t>far greater capacity to create digital cultural content than council-run, public, and university galleries, and artist run initiatives. This was as some organisations found it difficult to access appropriate devices and platforms and discovered that creating and sharing digital cultural content requires specialised abilities that are not always evenly distributed to all institutions. Many organisations were worried about funding and resourcing these digital activities, especially as they were to remain part of everyday operations for many institutions.</w:t>
      </w:r>
    </w:p>
    <w:p w14:paraId="6EB1A466" w14:textId="77777777" w:rsidR="00663A28" w:rsidRPr="00663A28" w:rsidRDefault="00663A28" w:rsidP="00663A28">
      <w:pPr>
        <w:pStyle w:val="BodyText"/>
      </w:pPr>
    </w:p>
    <w:p w14:paraId="2FFCCEDF" w14:textId="77777777" w:rsidR="00663A28" w:rsidRPr="00663A28" w:rsidRDefault="00663A28" w:rsidP="000D6862">
      <w:pPr>
        <w:pStyle w:val="Heading3"/>
      </w:pPr>
      <w:bookmarkStart w:id="111" w:name="_Toc97273401"/>
      <w:bookmarkStart w:id="112" w:name="_Toc97279977"/>
      <w:bookmarkStart w:id="113" w:name="_Toc97280156"/>
      <w:bookmarkStart w:id="114" w:name="_Toc97565256"/>
      <w:bookmarkStart w:id="115" w:name="_Toc103346868"/>
      <w:bookmarkStart w:id="116" w:name="_Toc103771382"/>
      <w:bookmarkStart w:id="117" w:name="_Toc103931831"/>
      <w:bookmarkStart w:id="118" w:name="_Toc103943210"/>
      <w:r w:rsidRPr="00663A28">
        <w:t>The ongoing impacts of disruption have affected income flow</w:t>
      </w:r>
      <w:bookmarkEnd w:id="111"/>
      <w:bookmarkEnd w:id="112"/>
      <w:bookmarkEnd w:id="113"/>
      <w:bookmarkEnd w:id="114"/>
      <w:bookmarkEnd w:id="115"/>
      <w:bookmarkEnd w:id="116"/>
      <w:bookmarkEnd w:id="117"/>
      <w:bookmarkEnd w:id="118"/>
    </w:p>
    <w:p w14:paraId="1099178F" w14:textId="77777777" w:rsidR="00663A28" w:rsidRPr="00663A28" w:rsidRDefault="00663A28" w:rsidP="00663A28">
      <w:pPr>
        <w:pStyle w:val="BodyText"/>
      </w:pPr>
      <w:r w:rsidRPr="00663A28">
        <w:t xml:space="preserve">The closures and cancellation of gigs throughout 2020 and 2021 has had ongoing impacts on the finances of creative organisations. The capacity of the sector has been impacted by the circumstances created by pandemic restrictions and transmission rates, leaving them vulnerable in a volatile state. </w:t>
      </w:r>
    </w:p>
    <w:p w14:paraId="5C29748E" w14:textId="77777777" w:rsidR="00663A28" w:rsidRPr="00663A28" w:rsidRDefault="00663A28" w:rsidP="00663A28">
      <w:pPr>
        <w:pStyle w:val="BodyText"/>
      </w:pPr>
      <w:r w:rsidRPr="00663A28">
        <w:t>Monthly cross-industry surveys conducted by the ABS throughout 2020 and 2021 clearly show the economic impacts have been significant, and disproportionately high within the arts and recreation businesses compared to other industries.</w:t>
      </w:r>
    </w:p>
    <w:p w14:paraId="3D6960D9" w14:textId="5469B464" w:rsidR="00663A28" w:rsidRPr="00663A28" w:rsidRDefault="00663A28" w:rsidP="00663A28">
      <w:pPr>
        <w:pStyle w:val="BodyText"/>
      </w:pPr>
      <w:r w:rsidRPr="00663A28">
        <w:t>In June 2020, 78% of arts and recreation businesses reported decreased revenue compared to the same time in the previous year, and 60% of these reported that the decrease was 50% or more.</w:t>
      </w:r>
      <w:r w:rsidR="0043398B">
        <w:rPr>
          <w:rFonts w:ascii="ZWAdobeF" w:hAnsi="ZWAdobeF" w:cs="ZWAdobeF"/>
          <w:sz w:val="2"/>
          <w:szCs w:val="2"/>
        </w:rPr>
        <w:t>80F</w:t>
      </w:r>
      <w:r w:rsidRPr="00663A28">
        <w:rPr>
          <w:vertAlign w:val="superscript"/>
        </w:rPr>
        <w:footnoteReference w:id="82"/>
      </w:r>
      <w:r w:rsidRPr="00663A28">
        <w:t xml:space="preserve"> By September 2020, arts and recreation services businesses were still the most likely to be operating under modified conditions (86%, compared to the average of 64%).</w:t>
      </w:r>
      <w:r w:rsidR="0043398B">
        <w:rPr>
          <w:rFonts w:ascii="ZWAdobeF" w:hAnsi="ZWAdobeF" w:cs="ZWAdobeF"/>
          <w:sz w:val="2"/>
          <w:szCs w:val="2"/>
        </w:rPr>
        <w:t>81F</w:t>
      </w:r>
      <w:r w:rsidRPr="00663A28">
        <w:rPr>
          <w:vertAlign w:val="superscript"/>
        </w:rPr>
        <w:footnoteReference w:id="83"/>
      </w:r>
    </w:p>
    <w:p w14:paraId="0EB548F1" w14:textId="36A4C974" w:rsidR="00663A28" w:rsidRPr="00663A28" w:rsidRDefault="00663A28" w:rsidP="00663A28">
      <w:pPr>
        <w:pStyle w:val="BodyText"/>
      </w:pPr>
      <w:r w:rsidRPr="00663A28">
        <w:t>In December 2020, 49% were expecting difficulty in meeting their financial commitments over the upcoming three months.</w:t>
      </w:r>
      <w:r w:rsidR="0043398B">
        <w:rPr>
          <w:rFonts w:ascii="ZWAdobeF" w:hAnsi="ZWAdobeF" w:cs="ZWAdobeF"/>
          <w:sz w:val="2"/>
          <w:szCs w:val="2"/>
        </w:rPr>
        <w:t>82F</w:t>
      </w:r>
      <w:r w:rsidRPr="00663A28">
        <w:rPr>
          <w:vertAlign w:val="superscript"/>
        </w:rPr>
        <w:footnoteReference w:id="84"/>
      </w:r>
      <w:r w:rsidRPr="00663A28">
        <w:t xml:space="preserve"> And, by June 2021, arts and recreation businesses were still the most likely to be expecting difficulty in meeting their financial commitments over the upcoming three months (37%, compared to the average of 16%).</w:t>
      </w:r>
      <w:r w:rsidR="0043398B">
        <w:rPr>
          <w:rFonts w:ascii="ZWAdobeF" w:hAnsi="ZWAdobeF" w:cs="ZWAdobeF"/>
          <w:sz w:val="2"/>
          <w:szCs w:val="2"/>
        </w:rPr>
        <w:t>83F</w:t>
      </w:r>
      <w:r w:rsidRPr="00663A28">
        <w:rPr>
          <w:vertAlign w:val="superscript"/>
        </w:rPr>
        <w:footnoteReference w:id="85"/>
      </w:r>
    </w:p>
    <w:p w14:paraId="5BBBEC70" w14:textId="6AD130A5" w:rsidR="00663A28" w:rsidRPr="00663A28" w:rsidRDefault="00663A28" w:rsidP="00663A28">
      <w:pPr>
        <w:pStyle w:val="BodyText"/>
      </w:pPr>
      <w:r w:rsidRPr="00663A28">
        <w:t xml:space="preserve">In 2021, a national survey of over 3,000 professionals in the music and wider performing arts sector found that over 32,000 gigs and events were cancelled, equating to nearly $94m of lost income between 1 July </w:t>
      </w:r>
      <w:r w:rsidRPr="00663A28">
        <w:lastRenderedPageBreak/>
        <w:t>2021 to 31 August 2021. Of those who lost revenue, nearly all had no income protection or event cancellation insurance (99%).</w:t>
      </w:r>
      <w:r w:rsidR="0043398B">
        <w:rPr>
          <w:rFonts w:ascii="ZWAdobeF" w:hAnsi="ZWAdobeF" w:cs="ZWAdobeF"/>
          <w:sz w:val="2"/>
          <w:szCs w:val="2"/>
        </w:rPr>
        <w:t>84F</w:t>
      </w:r>
      <w:r w:rsidRPr="00663A28">
        <w:rPr>
          <w:vertAlign w:val="superscript"/>
        </w:rPr>
        <w:footnoteReference w:id="86"/>
      </w:r>
    </w:p>
    <w:p w14:paraId="536A68F1" w14:textId="76440B0C" w:rsidR="00663A28" w:rsidRPr="00663A28" w:rsidRDefault="00663A28" w:rsidP="00663A28">
      <w:pPr>
        <w:pStyle w:val="BodyText"/>
        <w:rPr>
          <w:lang w:val="en-US"/>
        </w:rPr>
      </w:pPr>
      <w:r w:rsidRPr="00663A28">
        <w:t>A series of Council-conducted surveys of arts organisations</w:t>
      </w:r>
      <w:r w:rsidR="0043398B">
        <w:rPr>
          <w:rFonts w:ascii="ZWAdobeF" w:hAnsi="ZWAdobeF" w:cs="ZWAdobeF"/>
          <w:sz w:val="2"/>
          <w:szCs w:val="2"/>
        </w:rPr>
        <w:t>85F</w:t>
      </w:r>
      <w:r w:rsidRPr="00663A28">
        <w:rPr>
          <w:vertAlign w:val="superscript"/>
          <w:lang w:val="en-US"/>
        </w:rPr>
        <w:footnoteReference w:id="87"/>
      </w:r>
      <w:r w:rsidRPr="00663A28">
        <w:rPr>
          <w:lang w:val="en-US"/>
        </w:rPr>
        <w:t xml:space="preserve"> showed that following the lockdown in Victoria in May and June 2021, seven organisations </w:t>
      </w:r>
      <w:r w:rsidRPr="00663A28">
        <w:t>reported a total of 150 events cancelled and $6.2m in box office income lost. </w:t>
      </w:r>
    </w:p>
    <w:p w14:paraId="3448C0BD" w14:textId="6EF277FB" w:rsidR="00663A28" w:rsidRPr="00663A28" w:rsidRDefault="00663A28" w:rsidP="00663A28">
      <w:pPr>
        <w:pStyle w:val="BodyText"/>
        <w:rPr>
          <w:lang w:val="en-US"/>
        </w:rPr>
      </w:pPr>
      <w:r w:rsidRPr="00663A28">
        <w:rPr>
          <w:lang w:val="en-US"/>
        </w:rPr>
        <w:t>In July 2021, following the</w:t>
      </w:r>
      <w:r w:rsidRPr="00663A28">
        <w:rPr>
          <w:b/>
          <w:bCs/>
          <w:lang w:val="en-US"/>
        </w:rPr>
        <w:t xml:space="preserve"> </w:t>
      </w:r>
      <w:r w:rsidRPr="00663A28">
        <w:rPr>
          <w:lang w:val="en-US"/>
        </w:rPr>
        <w:t>lockdowns in New South Wales, South Australia and Victoria, 63 organisations reported a total of 1</w:t>
      </w:r>
      <w:r w:rsidR="00B968A9">
        <w:rPr>
          <w:lang w:val="en-US"/>
        </w:rPr>
        <w:t>,</w:t>
      </w:r>
      <w:r w:rsidRPr="00663A28">
        <w:rPr>
          <w:lang w:val="en-US"/>
        </w:rPr>
        <w:t>048 events cancelled or postponed, and $10.3m in lost income. </w:t>
      </w:r>
    </w:p>
    <w:p w14:paraId="6616EEAC" w14:textId="3C70BB56" w:rsidR="00663A28" w:rsidRPr="00663A28" w:rsidRDefault="00663A28" w:rsidP="00663A28">
      <w:pPr>
        <w:pStyle w:val="BodyText"/>
        <w:rPr>
          <w:lang w:val="en-US"/>
        </w:rPr>
      </w:pPr>
      <w:r w:rsidRPr="00663A28">
        <w:rPr>
          <w:lang w:val="en-US"/>
        </w:rPr>
        <w:t>And following the</w:t>
      </w:r>
      <w:r w:rsidRPr="00663A28">
        <w:rPr>
          <w:b/>
          <w:bCs/>
          <w:lang w:val="en-US"/>
        </w:rPr>
        <w:t xml:space="preserve"> </w:t>
      </w:r>
      <w:r w:rsidRPr="00663A28">
        <w:rPr>
          <w:lang w:val="en-US"/>
        </w:rPr>
        <w:t>national lockdowns</w:t>
      </w:r>
      <w:r w:rsidRPr="00663A28">
        <w:rPr>
          <w:b/>
          <w:bCs/>
          <w:lang w:val="en-US"/>
        </w:rPr>
        <w:t xml:space="preserve"> </w:t>
      </w:r>
      <w:r w:rsidRPr="00663A28">
        <w:rPr>
          <w:lang w:val="en-US"/>
        </w:rPr>
        <w:t>in July and August 2021, organisations across Australia reported a total of 2</w:t>
      </w:r>
      <w:r w:rsidR="00B968A9">
        <w:rPr>
          <w:lang w:val="en-US"/>
        </w:rPr>
        <w:t>,</w:t>
      </w:r>
      <w:r w:rsidRPr="00663A28">
        <w:rPr>
          <w:lang w:val="en-US"/>
        </w:rPr>
        <w:t>067 events cancelled or postponed and $14.8m in gross income lost. In addition, they pointed to total projected net losses of $17.4m in September to December 2021.</w:t>
      </w:r>
    </w:p>
    <w:p w14:paraId="18CF186D" w14:textId="6AEC4C5F" w:rsidR="00663A28" w:rsidRPr="00663A28" w:rsidRDefault="00663A28" w:rsidP="00663A28">
      <w:pPr>
        <w:pStyle w:val="BodyText"/>
      </w:pPr>
      <w:r w:rsidRPr="00663A28">
        <w:rPr>
          <w:lang w:val="en-US"/>
        </w:rPr>
        <w:t>Overall, the surveys estimated that music, theatre and dance multi-year investment organisations were most impacted by the lockdowns. In terms of the jurisdictions, organisations based in NSW and Victoria were most impacted. The least impacted organisations were based in NT, Tasmania and ACT.</w:t>
      </w:r>
      <w:r w:rsidRPr="00663A28">
        <w:t>The ABS’s figures from January 2022 show just over half of arts and recreation business ha</w:t>
      </w:r>
      <w:r w:rsidR="003D623E">
        <w:t>d</w:t>
      </w:r>
      <w:r w:rsidRPr="00663A28">
        <w:t xml:space="preserve"> reported that the current cash on hand </w:t>
      </w:r>
      <w:r w:rsidR="003D623E">
        <w:t>wa</w:t>
      </w:r>
      <w:r w:rsidRPr="00663A28">
        <w:t>s lower compared to what is usual for th</w:t>
      </w:r>
      <w:r w:rsidR="003D623E">
        <w:t>at</w:t>
      </w:r>
      <w:r w:rsidRPr="00663A28">
        <w:t xml:space="preserve"> time of year (52%).</w:t>
      </w:r>
      <w:r w:rsidR="0043398B">
        <w:rPr>
          <w:rFonts w:ascii="ZWAdobeF" w:hAnsi="ZWAdobeF" w:cs="ZWAdobeF"/>
          <w:sz w:val="2"/>
          <w:szCs w:val="2"/>
        </w:rPr>
        <w:t>86F</w:t>
      </w:r>
      <w:r w:rsidRPr="00663A28">
        <w:rPr>
          <w:vertAlign w:val="superscript"/>
        </w:rPr>
        <w:footnoteReference w:id="88"/>
      </w:r>
      <w:r w:rsidR="00826BC8">
        <w:t xml:space="preserve"> In addition, t</w:t>
      </w:r>
      <w:r w:rsidR="00826BC8" w:rsidRPr="00826BC8">
        <w:t xml:space="preserve">he latest </w:t>
      </w:r>
      <w:r w:rsidR="00826BC8">
        <w:t xml:space="preserve">ABS </w:t>
      </w:r>
      <w:r w:rsidR="00826BC8" w:rsidRPr="00826BC8">
        <w:t>figures from June 2022 show that</w:t>
      </w:r>
      <w:r w:rsidR="003D2637">
        <w:t xml:space="preserve"> many arts and recreation businesses are still struggling –</w:t>
      </w:r>
      <w:r w:rsidR="00826BC8" w:rsidRPr="00826BC8">
        <w:t xml:space="preserve"> 27% of arts and recreation businesses say it will be 'difficult' or 'very difficult' to meet financial commitments over the next three months</w:t>
      </w:r>
      <w:r w:rsidR="00826BC8">
        <w:t>.</w:t>
      </w:r>
      <w:r w:rsidR="0043398B">
        <w:rPr>
          <w:rFonts w:ascii="ZWAdobeF" w:hAnsi="ZWAdobeF" w:cs="ZWAdobeF"/>
          <w:sz w:val="2"/>
          <w:szCs w:val="2"/>
        </w:rPr>
        <w:t>87F</w:t>
      </w:r>
      <w:r w:rsidR="00826BC8">
        <w:rPr>
          <w:rStyle w:val="FootnoteReference"/>
        </w:rPr>
        <w:footnoteReference w:id="89"/>
      </w:r>
    </w:p>
    <w:p w14:paraId="5BE8BC34" w14:textId="02A7D21D" w:rsidR="00663A28" w:rsidRPr="00663A28" w:rsidRDefault="00663A28" w:rsidP="00663A28">
      <w:pPr>
        <w:pStyle w:val="BodyText"/>
      </w:pPr>
      <w:r w:rsidRPr="00663A28">
        <w:t xml:space="preserve">As COVID-19 has disproportionally impacted arts and recreation businesses across the country, these impacts have been varied state-to-state. See the timeline for more detail on state lockdowns on page </w:t>
      </w:r>
      <w:r w:rsidR="00477D1D">
        <w:t>5</w:t>
      </w:r>
      <w:r w:rsidRPr="00663A28">
        <w:t xml:space="preserve">. </w:t>
      </w:r>
    </w:p>
    <w:p w14:paraId="0A88EFFC" w14:textId="77777777" w:rsidR="00663A28" w:rsidRPr="00663A28" w:rsidRDefault="00663A28" w:rsidP="00663A28">
      <w:pPr>
        <w:pStyle w:val="BodyText"/>
      </w:pPr>
    </w:p>
    <w:p w14:paraId="426B48E6" w14:textId="77777777" w:rsidR="00663A28" w:rsidRPr="00663A28" w:rsidRDefault="00663A28" w:rsidP="000D6862">
      <w:pPr>
        <w:pStyle w:val="Heading3"/>
      </w:pPr>
      <w:bookmarkStart w:id="119" w:name="_Toc103346869"/>
      <w:bookmarkStart w:id="120" w:name="_Toc103771383"/>
      <w:bookmarkStart w:id="121" w:name="_Toc103931832"/>
      <w:bookmarkStart w:id="122" w:name="_Toc103943211"/>
      <w:bookmarkStart w:id="123" w:name="_Toc97273402"/>
      <w:bookmarkStart w:id="124" w:name="_Toc97279978"/>
      <w:bookmarkStart w:id="125" w:name="_Toc97280157"/>
      <w:bookmarkStart w:id="126" w:name="_Toc97565257"/>
      <w:r w:rsidRPr="00663A28">
        <w:t>Government support for arts and cultural organisations</w:t>
      </w:r>
      <w:bookmarkEnd w:id="119"/>
      <w:bookmarkEnd w:id="120"/>
      <w:bookmarkEnd w:id="121"/>
      <w:bookmarkEnd w:id="122"/>
      <w:r w:rsidRPr="00663A28">
        <w:t xml:space="preserve"> </w:t>
      </w:r>
      <w:bookmarkEnd w:id="123"/>
      <w:bookmarkEnd w:id="124"/>
      <w:bookmarkEnd w:id="125"/>
      <w:bookmarkEnd w:id="126"/>
    </w:p>
    <w:p w14:paraId="28D87BCB" w14:textId="23F7642D" w:rsidR="00663A28" w:rsidRPr="00663A28" w:rsidRDefault="00663A28" w:rsidP="00663A28">
      <w:pPr>
        <w:pStyle w:val="BodyText"/>
      </w:pPr>
      <w:r w:rsidRPr="00663A28">
        <w:t xml:space="preserve">In response to the COVID-19 pandemic, the Australian Government has supported the nation’s cultural and creative industries with a range of additional, targeted support. </w:t>
      </w:r>
    </w:p>
    <w:p w14:paraId="1411E53A" w14:textId="063AD20D" w:rsidR="00663A28" w:rsidRPr="00663A28" w:rsidRDefault="00663A28" w:rsidP="00663A28">
      <w:pPr>
        <w:pStyle w:val="BodyText"/>
      </w:pPr>
      <w:r w:rsidRPr="00663A28">
        <w:t xml:space="preserve">The Council launched its first grant package, </w:t>
      </w:r>
      <w:r w:rsidRPr="00663A28">
        <w:rPr>
          <w:bCs/>
        </w:rPr>
        <w:t>the Resilience fund,</w:t>
      </w:r>
      <w:r w:rsidRPr="00663A28">
        <w:t xml:space="preserve"> 31 March 2020 with more than $5m directed to provide emergency relief to individuals, groups and organisations.</w:t>
      </w:r>
      <w:r w:rsidR="0043398B">
        <w:rPr>
          <w:rFonts w:ascii="ZWAdobeF" w:hAnsi="ZWAdobeF" w:cs="ZWAdobeF"/>
          <w:sz w:val="2"/>
          <w:szCs w:val="2"/>
        </w:rPr>
        <w:t>88F</w:t>
      </w:r>
      <w:r w:rsidRPr="00663A28">
        <w:rPr>
          <w:vertAlign w:val="superscript"/>
        </w:rPr>
        <w:footnoteReference w:id="90"/>
      </w:r>
      <w:r w:rsidRPr="00663A28">
        <w:t xml:space="preserve"> </w:t>
      </w:r>
    </w:p>
    <w:p w14:paraId="0D93AAAE" w14:textId="77777777" w:rsidR="00663A28" w:rsidRPr="00663A28" w:rsidRDefault="00663A28" w:rsidP="00663A28">
      <w:pPr>
        <w:pStyle w:val="BodyText"/>
      </w:pPr>
      <w:r w:rsidRPr="00663A28">
        <w:t xml:space="preserve">From August 2020 to December 2021, the Australian Government invested over $200m over two years in Australian </w:t>
      </w:r>
      <w:r w:rsidRPr="00663A28">
        <w:rPr>
          <w:lang w:val="en-US"/>
        </w:rPr>
        <w:t xml:space="preserve">arts and cultural organisations </w:t>
      </w:r>
      <w:r w:rsidRPr="00663A28">
        <w:t xml:space="preserve">and events. The Restart Investment to Sustain and Expand (RISE) Fund targeted investment to assist in the presentation of cultural and creative projects, activities and events to rebuild confidence amongst investors, producers and consumers. </w:t>
      </w:r>
    </w:p>
    <w:p w14:paraId="7507890F" w14:textId="77777777" w:rsidR="00663A28" w:rsidRPr="00663A28" w:rsidRDefault="00663A28" w:rsidP="00663A28">
      <w:pPr>
        <w:pStyle w:val="BodyText"/>
      </w:pPr>
      <w:r w:rsidRPr="00663A28">
        <w:t xml:space="preserve">Throughout COVID-19, the Australian Government, state and territory, and local governments have administered a variety of other income support packages including Regional Arts Fund, Playing Australia: Regional Performing Arts Touring Fund and Create NSW Small Projects Grant. </w:t>
      </w:r>
    </w:p>
    <w:p w14:paraId="3D21F8F7" w14:textId="77777777" w:rsidR="00663A28" w:rsidRPr="00663A28" w:rsidRDefault="00663A28" w:rsidP="00663A28">
      <w:pPr>
        <w:pStyle w:val="BodyText"/>
      </w:pPr>
      <w:r w:rsidRPr="00663A28">
        <w:lastRenderedPageBreak/>
        <w:t>The Council and other creative sector bodies also administered grants, including Theatre Network Australia’s Crisis Cash for Artists, Support Act’s COVID-19 Crisis Relief grant, and APRA’s Creative Recovery Fund grant, Performing Lines WA.</w:t>
      </w:r>
    </w:p>
    <w:p w14:paraId="5B58E097" w14:textId="77777777" w:rsidR="00663A28" w:rsidRPr="00663A28" w:rsidRDefault="00663A28" w:rsidP="00663A28">
      <w:pPr>
        <w:pStyle w:val="BodyText"/>
      </w:pPr>
      <w:r w:rsidRPr="00663A28">
        <w:t>The cultural and creative industries also had access to whole of government, economy-wide programs, including the JobKeeper scheme from 30 March 2020 to 28 March 2021 and the COVID-19 Disaster Payment scheme in late 2021. In addition, small business grants and micro business grants supported small to medium arts organisations and independent artists to get by.</w:t>
      </w:r>
    </w:p>
    <w:p w14:paraId="7BACD7EB" w14:textId="1998E1D1" w:rsidR="00663A28" w:rsidRPr="00663A28" w:rsidRDefault="00663A28" w:rsidP="00663A28">
      <w:pPr>
        <w:pStyle w:val="BodyText"/>
      </w:pPr>
      <w:r w:rsidRPr="00663A28">
        <w:t>JobKeeper was a welcomed subsidy which enabled organisations to continue paying their employees. It is estimated that around two-thirds of creative workers were supported through the JobKeeper scheme throughout the early stages of the pandemic, based on data from Treasury and the tax office.</w:t>
      </w:r>
      <w:r w:rsidR="0043398B">
        <w:rPr>
          <w:rFonts w:ascii="ZWAdobeF" w:hAnsi="ZWAdobeF" w:cs="ZWAdobeF"/>
          <w:sz w:val="2"/>
          <w:szCs w:val="2"/>
        </w:rPr>
        <w:t>89F</w:t>
      </w:r>
      <w:r w:rsidRPr="00663A28">
        <w:rPr>
          <w:vertAlign w:val="superscript"/>
        </w:rPr>
        <w:footnoteReference w:id="91"/>
      </w:r>
      <w:r w:rsidRPr="00663A28">
        <w:t xml:space="preserve"> Australia Council modelling estimated that the beneficial impact of JobKeeper for the multi-year investment organisations that the Australia Council supports was $128m.</w:t>
      </w:r>
    </w:p>
    <w:p w14:paraId="30E4551F" w14:textId="1A85F14A" w:rsidR="00663A28" w:rsidRPr="00663A28" w:rsidRDefault="00663A28" w:rsidP="00663A28">
      <w:pPr>
        <w:pStyle w:val="BodyText"/>
      </w:pPr>
      <w:r w:rsidRPr="00663A28">
        <w:t xml:space="preserve">The COVID-19 Disaster Payment was a lump sum payment for those who had lost work or income as a result of a COVID-19 lockdown. The Council’s surveys of multi-year investment organisations </w:t>
      </w:r>
      <w:r w:rsidRPr="00663A28" w:rsidDel="00DB6D61">
        <w:t xml:space="preserve">estimated </w:t>
      </w:r>
      <w:r w:rsidRPr="00663A28">
        <w:t>that over half could not access any state or territory government support packages to assist with the impacts of the lockdowns in July and August 2021</w:t>
      </w:r>
      <w:r w:rsidR="63B88754">
        <w:t>.</w:t>
      </w:r>
      <w:r w:rsidRPr="00663A28">
        <w:t xml:space="preserve"> </w:t>
      </w:r>
    </w:p>
    <w:p w14:paraId="42A25EC1" w14:textId="191BBF08" w:rsidR="00663A28" w:rsidRPr="00663A28" w:rsidRDefault="00663A28" w:rsidP="00663A28">
      <w:pPr>
        <w:pStyle w:val="BodyText"/>
      </w:pPr>
      <w:r w:rsidRPr="00663A28">
        <w:t>However, as the arts and cultural sector is typically characterised by high levels of casualisation and freelancing, some creative workers were unable to benefit from this form of government support.</w:t>
      </w:r>
      <w:r w:rsidRPr="00663A28">
        <w:rPr>
          <w:vertAlign w:val="superscript"/>
        </w:rPr>
        <w:t xml:space="preserve"> </w:t>
      </w:r>
      <w:r w:rsidR="0043398B">
        <w:rPr>
          <w:rFonts w:ascii="ZWAdobeF" w:hAnsi="ZWAdobeF" w:cs="ZWAdobeF"/>
          <w:sz w:val="2"/>
          <w:szCs w:val="2"/>
        </w:rPr>
        <w:t>90F</w:t>
      </w:r>
      <w:r w:rsidRPr="00663A28">
        <w:rPr>
          <w:vertAlign w:val="superscript"/>
        </w:rPr>
        <w:footnoteReference w:id="92"/>
      </w:r>
      <w:r w:rsidRPr="00663A28">
        <w:t xml:space="preserve"> For more detail on government support and artists and creative workers see page </w:t>
      </w:r>
      <w:r w:rsidR="00477D1D">
        <w:t>23</w:t>
      </w:r>
      <w:r w:rsidRPr="00663A28">
        <w:t xml:space="preserve">. </w:t>
      </w:r>
    </w:p>
    <w:p w14:paraId="6A19D971" w14:textId="587C60E9" w:rsidR="00663A28" w:rsidRPr="00663A28" w:rsidRDefault="00663A28" w:rsidP="00663A28">
      <w:pPr>
        <w:pStyle w:val="BodyText"/>
      </w:pPr>
      <w:r w:rsidRPr="00663A28">
        <w:t>For a full list of all income support packages for Australia’s arts and cultural sector, see the Sharpe Guide.</w:t>
      </w:r>
      <w:r w:rsidR="0043398B">
        <w:rPr>
          <w:rFonts w:ascii="ZWAdobeF" w:hAnsi="ZWAdobeF" w:cs="ZWAdobeF"/>
          <w:sz w:val="2"/>
          <w:szCs w:val="2"/>
        </w:rPr>
        <w:t>91F</w:t>
      </w:r>
      <w:r w:rsidRPr="00663A28">
        <w:rPr>
          <w:vertAlign w:val="superscript"/>
        </w:rPr>
        <w:footnoteReference w:id="93"/>
      </w:r>
    </w:p>
    <w:p w14:paraId="7CB7C141" w14:textId="77777777" w:rsidR="00663A28" w:rsidRPr="00663A28" w:rsidRDefault="00663A28" w:rsidP="00663A28">
      <w:pPr>
        <w:pStyle w:val="BodyText"/>
      </w:pPr>
    </w:p>
    <w:p w14:paraId="7AD4E42C" w14:textId="77777777" w:rsidR="001D15C4" w:rsidRPr="000D6862" w:rsidRDefault="001D15C4" w:rsidP="001D15C4">
      <w:pPr>
        <w:pStyle w:val="Heading3"/>
      </w:pPr>
      <w:bookmarkStart w:id="127" w:name="_Toc97107214"/>
      <w:bookmarkStart w:id="128" w:name="_Toc97273403"/>
      <w:bookmarkStart w:id="129" w:name="_Toc97279979"/>
      <w:bookmarkStart w:id="130" w:name="_Toc97280158"/>
      <w:bookmarkStart w:id="131" w:name="_Toc97565258"/>
      <w:bookmarkStart w:id="132" w:name="_Toc103346870"/>
      <w:bookmarkStart w:id="133" w:name="_Toc103771384"/>
      <w:bookmarkStart w:id="134" w:name="_Toc103931833"/>
      <w:bookmarkStart w:id="135" w:name="_Toc103943212"/>
      <w:r w:rsidRPr="000D6862">
        <w:t>‘Expertise’ leaving the sector</w:t>
      </w:r>
      <w:bookmarkEnd w:id="127"/>
      <w:bookmarkEnd w:id="128"/>
      <w:bookmarkEnd w:id="129"/>
      <w:bookmarkEnd w:id="130"/>
      <w:bookmarkEnd w:id="131"/>
      <w:bookmarkEnd w:id="132"/>
      <w:bookmarkEnd w:id="133"/>
      <w:bookmarkEnd w:id="134"/>
      <w:bookmarkEnd w:id="135"/>
    </w:p>
    <w:p w14:paraId="54426E0F" w14:textId="287B75EA" w:rsidR="001D15C4" w:rsidRPr="00806694" w:rsidRDefault="001D15C4" w:rsidP="001D15C4">
      <w:pPr>
        <w:pStyle w:val="BodyText"/>
      </w:pPr>
      <w:r>
        <w:rPr>
          <w:rStyle w:val="normaltextrun"/>
          <w:rFonts w:ascii="Arial" w:hAnsi="Arial" w:cs="Arial"/>
          <w:color w:val="000000"/>
        </w:rPr>
        <w:t>Prior to COVID-19, it was clear that t</w:t>
      </w:r>
      <w:r w:rsidRPr="00A762AC">
        <w:rPr>
          <w:rStyle w:val="normaltextrun"/>
          <w:rFonts w:ascii="Arial" w:hAnsi="Arial" w:cs="Arial"/>
          <w:color w:val="000000"/>
        </w:rPr>
        <w:t xml:space="preserve">he creative skills </w:t>
      </w:r>
      <w:r>
        <w:rPr>
          <w:rStyle w:val="normaltextrun"/>
          <w:rFonts w:ascii="Arial" w:hAnsi="Arial" w:cs="Arial"/>
          <w:color w:val="000000"/>
        </w:rPr>
        <w:t>which</w:t>
      </w:r>
      <w:r w:rsidRPr="00A762AC">
        <w:rPr>
          <w:rStyle w:val="normaltextrun"/>
          <w:rFonts w:ascii="Arial" w:hAnsi="Arial" w:cs="Arial"/>
          <w:color w:val="000000"/>
        </w:rPr>
        <w:t xml:space="preserve"> are essential to the </w:t>
      </w:r>
      <w:r w:rsidRPr="002120A2">
        <w:rPr>
          <w:rStyle w:val="normaltextrun"/>
          <w:rFonts w:ascii="Arial" w:hAnsi="Arial" w:cs="Arial"/>
          <w:bCs/>
          <w:color w:val="000000"/>
        </w:rPr>
        <w:t>arts are embedded across the economy and are vital to our nation’s success.</w:t>
      </w:r>
      <w:r>
        <w:rPr>
          <w:rStyle w:val="normaltextrun"/>
          <w:rFonts w:ascii="Arial" w:hAnsi="Arial" w:cs="Arial"/>
          <w:bCs/>
          <w:color w:val="000000"/>
        </w:rPr>
        <w:t xml:space="preserve"> </w:t>
      </w:r>
    </w:p>
    <w:p w14:paraId="13851BE1" w14:textId="369E9DAA" w:rsidR="001D15C4" w:rsidRPr="00FC6B40" w:rsidRDefault="001D15C4" w:rsidP="001D15C4">
      <w:pPr>
        <w:pStyle w:val="BodyText"/>
      </w:pPr>
      <w:r w:rsidRPr="002120A2">
        <w:t xml:space="preserve">There </w:t>
      </w:r>
      <w:r w:rsidR="00D33337" w:rsidRPr="002120A2">
        <w:t>ha</w:t>
      </w:r>
      <w:r w:rsidR="00D33337">
        <w:t>s</w:t>
      </w:r>
      <w:r w:rsidR="00D33337" w:rsidRPr="002120A2">
        <w:t xml:space="preserve"> </w:t>
      </w:r>
      <w:r w:rsidRPr="002120A2">
        <w:t xml:space="preserve">been a significant increase in the number of artists applying their artistic skills in other </w:t>
      </w:r>
      <w:r w:rsidRPr="00C3545C">
        <w:t>industries. In 201</w:t>
      </w:r>
      <w:r w:rsidR="0087197A" w:rsidRPr="00C3545C">
        <w:t>6</w:t>
      </w:r>
      <w:r w:rsidRPr="00C3545C">
        <w:t>, just over half of all artists were using their artistic skills outside the arts (51%,</w:t>
      </w:r>
      <w:r w:rsidR="00DC166D">
        <w:t xml:space="preserve"> </w:t>
      </w:r>
      <w:r w:rsidRPr="00C3545C">
        <w:t xml:space="preserve">up from </w:t>
      </w:r>
      <w:r w:rsidR="00CF7981" w:rsidRPr="00C3545C">
        <w:t>3</w:t>
      </w:r>
      <w:r w:rsidRPr="00C3545C">
        <w:t>6% in 20</w:t>
      </w:r>
      <w:r w:rsidR="00CF7981" w:rsidRPr="00C3545C">
        <w:t>09</w:t>
      </w:r>
      <w:r w:rsidRPr="00C3545C">
        <w:t>), with more than four in five of these artists generating income from that work (83%). Of those artists who</w:t>
      </w:r>
      <w:r w:rsidRPr="002120A2">
        <w:t xml:space="preserve"> appl</w:t>
      </w:r>
      <w:r>
        <w:t>ied</w:t>
      </w:r>
      <w:r w:rsidRPr="002120A2">
        <w:t xml:space="preserve"> artistic skills in other</w:t>
      </w:r>
      <w:r w:rsidRPr="00A762AC">
        <w:t xml:space="preserve"> industries, four in ten </w:t>
      </w:r>
      <w:r>
        <w:t xml:space="preserve">were </w:t>
      </w:r>
      <w:r w:rsidRPr="00A762AC">
        <w:t>work</w:t>
      </w:r>
      <w:r>
        <w:t>ing</w:t>
      </w:r>
      <w:r w:rsidRPr="00A762AC">
        <w:t xml:space="preserve"> in education (including teaching) and research (39%).</w:t>
      </w:r>
      <w:r w:rsidR="0043398B">
        <w:rPr>
          <w:rFonts w:ascii="ZWAdobeF" w:hAnsi="ZWAdobeF" w:cs="ZWAdobeF"/>
          <w:sz w:val="2"/>
          <w:szCs w:val="2"/>
        </w:rPr>
        <w:t>92F</w:t>
      </w:r>
      <w:r w:rsidRPr="00A762AC">
        <w:rPr>
          <w:rStyle w:val="FootnoteReference"/>
          <w:rFonts w:ascii="Arial" w:hAnsi="Arial"/>
          <w:color w:val="000000"/>
        </w:rPr>
        <w:footnoteReference w:id="94"/>
      </w:r>
      <w:r>
        <w:rPr>
          <w:rStyle w:val="normaltextrun"/>
          <w:rFonts w:ascii="Arial" w:hAnsi="Arial"/>
          <w:color w:val="000000"/>
        </w:rPr>
        <w:t> </w:t>
      </w:r>
    </w:p>
    <w:p w14:paraId="748B45D3" w14:textId="77777777" w:rsidR="001D15C4" w:rsidRDefault="001D15C4" w:rsidP="001D15C4">
      <w:pPr>
        <w:pStyle w:val="BodyText"/>
        <w:rPr>
          <w:lang w:val="en-US"/>
        </w:rPr>
      </w:pPr>
      <w:r>
        <w:rPr>
          <w:lang w:val="en-US"/>
        </w:rPr>
        <w:t xml:space="preserve">Across Australia, the cancellation of festivals, literary events, live performances and art fairs had a devastating effect on job security, and many highly skilled workers left the arts and cultural sector. </w:t>
      </w:r>
    </w:p>
    <w:p w14:paraId="1E02AD9C" w14:textId="77777777" w:rsidR="001D15C4" w:rsidRPr="00CE6BE4" w:rsidRDefault="001D15C4" w:rsidP="001D15C4">
      <w:pPr>
        <w:pStyle w:val="BodyText"/>
        <w:rPr>
          <w:lang w:val="en-US"/>
        </w:rPr>
      </w:pPr>
      <w:r w:rsidRPr="00CE6BE4">
        <w:rPr>
          <w:lang w:val="en-US"/>
        </w:rPr>
        <w:t xml:space="preserve">The ABS Labour Survey </w:t>
      </w:r>
      <w:r>
        <w:rPr>
          <w:lang w:val="en-US"/>
        </w:rPr>
        <w:t xml:space="preserve">in </w:t>
      </w:r>
      <w:r w:rsidRPr="00CE6BE4">
        <w:rPr>
          <w:lang w:val="en-US"/>
        </w:rPr>
        <w:t>March</w:t>
      </w:r>
      <w:r>
        <w:rPr>
          <w:lang w:val="en-US"/>
        </w:rPr>
        <w:t>–</w:t>
      </w:r>
      <w:r w:rsidRPr="00CE6BE4">
        <w:rPr>
          <w:lang w:val="en-US"/>
        </w:rPr>
        <w:t xml:space="preserve">May 2020 </w:t>
      </w:r>
      <w:r>
        <w:rPr>
          <w:lang w:val="en-US"/>
        </w:rPr>
        <w:t>highlighted</w:t>
      </w:r>
      <w:r w:rsidRPr="00CE6BE4">
        <w:rPr>
          <w:lang w:val="en-US"/>
        </w:rPr>
        <w:t xml:space="preserve"> th</w:t>
      </w:r>
      <w:r>
        <w:rPr>
          <w:lang w:val="en-US"/>
        </w:rPr>
        <w:t>e</w:t>
      </w:r>
      <w:r w:rsidRPr="00CE6BE4">
        <w:rPr>
          <w:lang w:val="en-US"/>
        </w:rPr>
        <w:t xml:space="preserve"> long</w:t>
      </w:r>
      <w:r>
        <w:rPr>
          <w:lang w:val="en-US"/>
        </w:rPr>
        <w:t>-</w:t>
      </w:r>
      <w:r w:rsidRPr="00CE6BE4">
        <w:rPr>
          <w:lang w:val="en-US"/>
        </w:rPr>
        <w:t>term</w:t>
      </w:r>
      <w:r>
        <w:rPr>
          <w:lang w:val="en-US"/>
        </w:rPr>
        <w:t xml:space="preserve"> </w:t>
      </w:r>
      <w:r w:rsidRPr="00CE6BE4">
        <w:rPr>
          <w:lang w:val="en-US"/>
        </w:rPr>
        <w:t>impact of job losses</w:t>
      </w:r>
      <w:r>
        <w:rPr>
          <w:lang w:val="en-US"/>
        </w:rPr>
        <w:t xml:space="preserve"> and how large numbers</w:t>
      </w:r>
      <w:r w:rsidRPr="00CE6BE4">
        <w:rPr>
          <w:lang w:val="en-US"/>
        </w:rPr>
        <w:t xml:space="preserve"> of people </w:t>
      </w:r>
      <w:r>
        <w:rPr>
          <w:lang w:val="en-US"/>
        </w:rPr>
        <w:t>were leaving</w:t>
      </w:r>
      <w:r w:rsidRPr="00CE6BE4">
        <w:rPr>
          <w:lang w:val="en-US"/>
        </w:rPr>
        <w:t xml:space="preserve"> the</w:t>
      </w:r>
      <w:r>
        <w:rPr>
          <w:lang w:val="en-US"/>
        </w:rPr>
        <w:t xml:space="preserve"> a</w:t>
      </w:r>
      <w:r w:rsidRPr="00CE6BE4">
        <w:rPr>
          <w:lang w:val="en-US"/>
        </w:rPr>
        <w:t>rts and recreation services industries:</w:t>
      </w:r>
    </w:p>
    <w:p w14:paraId="4744D3BC" w14:textId="7E13667C" w:rsidR="00EC3E0E" w:rsidRPr="00CE6BE4" w:rsidRDefault="001D15C4" w:rsidP="001D15C4">
      <w:pPr>
        <w:pStyle w:val="BodyText"/>
        <w:rPr>
          <w:lang w:val="en-US"/>
        </w:rPr>
      </w:pPr>
      <w:r w:rsidRPr="00CE6BE4">
        <w:rPr>
          <w:lang w:val="en-US"/>
        </w:rPr>
        <w:t xml:space="preserve">In </w:t>
      </w:r>
      <w:r>
        <w:rPr>
          <w:lang w:val="en-US"/>
        </w:rPr>
        <w:t>a</w:t>
      </w:r>
      <w:r w:rsidRPr="00CE6BE4">
        <w:rPr>
          <w:lang w:val="en-US"/>
        </w:rPr>
        <w:t xml:space="preserve">rts and recreation services and </w:t>
      </w:r>
      <w:r>
        <w:rPr>
          <w:lang w:val="en-US"/>
        </w:rPr>
        <w:t>a</w:t>
      </w:r>
      <w:r w:rsidRPr="00CE6BE4">
        <w:rPr>
          <w:lang w:val="en-US"/>
        </w:rPr>
        <w:t>ccommodation and food services, the two</w:t>
      </w:r>
      <w:r>
        <w:rPr>
          <w:lang w:val="en-US"/>
        </w:rPr>
        <w:t xml:space="preserve"> </w:t>
      </w:r>
      <w:r w:rsidRPr="00CE6BE4">
        <w:rPr>
          <w:lang w:val="en-US"/>
        </w:rPr>
        <w:t>industries most heavily impacted by COVID-19, a relatively large proportion (around</w:t>
      </w:r>
      <w:r>
        <w:rPr>
          <w:lang w:val="en-US"/>
        </w:rPr>
        <w:t xml:space="preserve"> </w:t>
      </w:r>
      <w:r w:rsidRPr="00CE6BE4">
        <w:rPr>
          <w:lang w:val="en-US"/>
        </w:rPr>
        <w:t xml:space="preserve">one-third) of people employed in these </w:t>
      </w:r>
      <w:r w:rsidRPr="00CE6BE4">
        <w:rPr>
          <w:lang w:val="en-US"/>
        </w:rPr>
        <w:lastRenderedPageBreak/>
        <w:t>industries in February were no longer</w:t>
      </w:r>
      <w:r>
        <w:rPr>
          <w:lang w:val="en-US"/>
        </w:rPr>
        <w:t xml:space="preserve"> </w:t>
      </w:r>
      <w:r w:rsidRPr="00CE6BE4">
        <w:rPr>
          <w:lang w:val="en-US"/>
        </w:rPr>
        <w:t>employed in May. Interestingly, of those remaining in employment in May, there was</w:t>
      </w:r>
      <w:r>
        <w:rPr>
          <w:lang w:val="en-US"/>
        </w:rPr>
        <w:t xml:space="preserve"> </w:t>
      </w:r>
      <w:r w:rsidRPr="00CE6BE4">
        <w:rPr>
          <w:lang w:val="en-US"/>
        </w:rPr>
        <w:t xml:space="preserve">a noticeably higher proportion of people from the </w:t>
      </w:r>
      <w:r>
        <w:rPr>
          <w:lang w:val="en-US"/>
        </w:rPr>
        <w:t>a</w:t>
      </w:r>
      <w:r w:rsidRPr="00CE6BE4">
        <w:rPr>
          <w:lang w:val="en-US"/>
        </w:rPr>
        <w:t>rts and recreation services</w:t>
      </w:r>
      <w:r>
        <w:rPr>
          <w:lang w:val="en-US"/>
        </w:rPr>
        <w:t xml:space="preserve"> i</w:t>
      </w:r>
      <w:r w:rsidRPr="00CE6BE4">
        <w:rPr>
          <w:lang w:val="en-US"/>
        </w:rPr>
        <w:t xml:space="preserve">ndustry who had changed industries, compared to </w:t>
      </w:r>
      <w:r>
        <w:rPr>
          <w:lang w:val="en-US"/>
        </w:rPr>
        <w:t>a</w:t>
      </w:r>
      <w:r w:rsidRPr="00CE6BE4">
        <w:rPr>
          <w:lang w:val="en-US"/>
        </w:rPr>
        <w:t>ccommodation and food</w:t>
      </w:r>
      <w:r>
        <w:rPr>
          <w:lang w:val="en-US"/>
        </w:rPr>
        <w:t xml:space="preserve"> </w:t>
      </w:r>
      <w:r w:rsidRPr="00CE6BE4">
        <w:rPr>
          <w:lang w:val="en-US"/>
        </w:rPr>
        <w:t>services.</w:t>
      </w:r>
      <w:r w:rsidR="0043398B">
        <w:rPr>
          <w:rFonts w:ascii="ZWAdobeF" w:hAnsi="ZWAdobeF" w:cs="ZWAdobeF"/>
          <w:sz w:val="2"/>
          <w:szCs w:val="2"/>
          <w:lang w:val="en-US"/>
        </w:rPr>
        <w:t>93F</w:t>
      </w:r>
      <w:r w:rsidRPr="00CE6BE4">
        <w:rPr>
          <w:rStyle w:val="FootnoteReference"/>
          <w:rFonts w:ascii="Arial" w:hAnsi="Arial"/>
          <w:lang w:val="en-US"/>
        </w:rPr>
        <w:footnoteReference w:id="95"/>
      </w:r>
    </w:p>
    <w:p w14:paraId="4ADB0D73" w14:textId="0C3A770D" w:rsidR="00EC3E0E" w:rsidRDefault="00EC3E0E" w:rsidP="00EC3E0E">
      <w:pPr>
        <w:pStyle w:val="Heading3"/>
      </w:pPr>
      <w:bookmarkStart w:id="136" w:name="_Toc97107215"/>
      <w:bookmarkStart w:id="137" w:name="_Toc97273404"/>
      <w:bookmarkStart w:id="138" w:name="_Toc97279980"/>
      <w:bookmarkStart w:id="139" w:name="_Toc97280159"/>
      <w:bookmarkStart w:id="140" w:name="_Toc97565259"/>
      <w:bookmarkStart w:id="141" w:name="_Toc103346871"/>
      <w:bookmarkStart w:id="142" w:name="_Toc103771385"/>
      <w:bookmarkStart w:id="143" w:name="_Toc103931834"/>
      <w:bookmarkStart w:id="144" w:name="_Toc103943213"/>
      <w:r>
        <w:t>Ongoing uncertainty</w:t>
      </w:r>
      <w:bookmarkEnd w:id="136"/>
      <w:bookmarkEnd w:id="137"/>
      <w:bookmarkEnd w:id="138"/>
      <w:bookmarkEnd w:id="139"/>
      <w:bookmarkEnd w:id="140"/>
      <w:bookmarkEnd w:id="141"/>
      <w:bookmarkEnd w:id="142"/>
      <w:bookmarkEnd w:id="143"/>
      <w:bookmarkEnd w:id="144"/>
    </w:p>
    <w:p w14:paraId="509FC686" w14:textId="1E5FAD19" w:rsidR="00EC3E0E" w:rsidRDefault="00EC3E0E" w:rsidP="00EC3E0E">
      <w:pPr>
        <w:pStyle w:val="BodyText"/>
      </w:pPr>
      <w:r w:rsidRPr="001917BF">
        <w:t>Globally,</w:t>
      </w:r>
      <w:r>
        <w:rPr>
          <w:rStyle w:val="FootnoteReference"/>
          <w:color w:val="000000"/>
        </w:rPr>
        <w:t xml:space="preserve"> </w:t>
      </w:r>
      <w:r>
        <w:t>c</w:t>
      </w:r>
      <w:r w:rsidRPr="00486882">
        <w:t>ultural and creative industries generally performed worse than their national economies, thereby sustaining more damage than during any previous crisis</w:t>
      </w:r>
      <w:r>
        <w:t>.</w:t>
      </w:r>
      <w:r w:rsidR="0043398B">
        <w:rPr>
          <w:rFonts w:ascii="ZWAdobeF" w:hAnsi="ZWAdobeF" w:cs="ZWAdobeF"/>
          <w:sz w:val="2"/>
          <w:szCs w:val="2"/>
        </w:rPr>
        <w:t>94F</w:t>
      </w:r>
      <w:r>
        <w:rPr>
          <w:rStyle w:val="FootnoteReference"/>
        </w:rPr>
        <w:footnoteReference w:id="96"/>
      </w:r>
      <w:r w:rsidRPr="00660B37">
        <w:t xml:space="preserve"> </w:t>
      </w:r>
      <w:r w:rsidRPr="001917BF">
        <w:rPr>
          <w:rFonts w:eastAsiaTheme="minorHAnsi" w:cstheme="minorBidi"/>
          <w:color w:val="000000"/>
          <w:szCs w:val="22"/>
          <w:lang w:eastAsia="en-US"/>
        </w:rPr>
        <w:t>10 million jobs were lost in the creative industries in 2020 alone because of the pandemic.</w:t>
      </w:r>
      <w:r w:rsidR="0043398B">
        <w:rPr>
          <w:rFonts w:ascii="ZWAdobeF" w:eastAsiaTheme="minorHAnsi" w:hAnsi="ZWAdobeF" w:cs="ZWAdobeF"/>
          <w:sz w:val="2"/>
          <w:szCs w:val="2"/>
          <w:lang w:eastAsia="en-US"/>
        </w:rPr>
        <w:t>95F</w:t>
      </w:r>
      <w:r w:rsidRPr="001917BF">
        <w:rPr>
          <w:rFonts w:eastAsiaTheme="minorHAnsi" w:cstheme="minorBidi"/>
          <w:color w:val="000000"/>
          <w:szCs w:val="22"/>
          <w:vertAlign w:val="superscript"/>
          <w:lang w:eastAsia="en-US"/>
        </w:rPr>
        <w:footnoteReference w:id="97"/>
      </w:r>
      <w:r>
        <w:rPr>
          <w:color w:val="000000"/>
        </w:rPr>
        <w:t xml:space="preserve"> </w:t>
      </w:r>
      <w:r>
        <w:t>T</w:t>
      </w:r>
      <w:r w:rsidRPr="00BC4D1B">
        <w:t xml:space="preserve">he global Gross Value Added </w:t>
      </w:r>
      <w:r>
        <w:t>(GVA)</w:t>
      </w:r>
      <w:r w:rsidRPr="00BC4D1B">
        <w:t xml:space="preserve"> in the cultural and creative industries </w:t>
      </w:r>
      <w:r>
        <w:t>reduced</w:t>
      </w:r>
      <w:r w:rsidRPr="00BC4D1B">
        <w:t xml:space="preserve"> by US$750b in 2020.</w:t>
      </w:r>
      <w:r w:rsidR="0043398B">
        <w:rPr>
          <w:rFonts w:ascii="ZWAdobeF" w:hAnsi="ZWAdobeF" w:cs="ZWAdobeF"/>
          <w:sz w:val="2"/>
          <w:szCs w:val="2"/>
        </w:rPr>
        <w:t>96F</w:t>
      </w:r>
      <w:r>
        <w:rPr>
          <w:rStyle w:val="FootnoteReference"/>
        </w:rPr>
        <w:footnoteReference w:id="98"/>
      </w:r>
    </w:p>
    <w:p w14:paraId="1C8FE30A" w14:textId="57805718" w:rsidR="00EC3E0E" w:rsidRPr="00D726FC" w:rsidRDefault="00EC3E0E" w:rsidP="00EC3E0E">
      <w:pPr>
        <w:pStyle w:val="BodyText"/>
        <w:rPr>
          <w:rStyle w:val="normaltextrun"/>
        </w:rPr>
      </w:pPr>
      <w:r>
        <w:t>COVID-19 continue</w:t>
      </w:r>
      <w:r w:rsidR="00C946B1">
        <w:t>d</w:t>
      </w:r>
      <w:r>
        <w:t xml:space="preserve"> to impact Australia’s </w:t>
      </w:r>
      <w:r w:rsidRPr="008239BD">
        <w:rPr>
          <w:lang w:val="en-US"/>
        </w:rPr>
        <w:t>arts and</w:t>
      </w:r>
      <w:r w:rsidRPr="000165BF">
        <w:rPr>
          <w:lang w:val="en-US"/>
        </w:rPr>
        <w:t xml:space="preserve"> </w:t>
      </w:r>
      <w:r w:rsidRPr="008239BD">
        <w:rPr>
          <w:lang w:val="en-US"/>
        </w:rPr>
        <w:t>cultural organisations</w:t>
      </w:r>
      <w:r w:rsidRPr="000165BF">
        <w:rPr>
          <w:lang w:val="en-US"/>
        </w:rPr>
        <w:t xml:space="preserve"> </w:t>
      </w:r>
      <w:r>
        <w:t xml:space="preserve">into 2022. Due to Omicron’s </w:t>
      </w:r>
      <w:r w:rsidRPr="006D7AD1">
        <w:t>rapid spread</w:t>
      </w:r>
      <w:r>
        <w:t>, n</w:t>
      </w:r>
      <w:r w:rsidRPr="00F506F1">
        <w:t xml:space="preserve">ot only </w:t>
      </w:r>
      <w:r w:rsidR="00C946B1">
        <w:t>did</w:t>
      </w:r>
      <w:r w:rsidR="00C946B1" w:rsidRPr="00F506F1">
        <w:t xml:space="preserve"> </w:t>
      </w:r>
      <w:r>
        <w:t>many live performances</w:t>
      </w:r>
      <w:r w:rsidRPr="00F506F1">
        <w:t xml:space="preserve"> </w:t>
      </w:r>
      <w:r>
        <w:t>ha</w:t>
      </w:r>
      <w:r w:rsidR="00C946B1">
        <w:t>ve</w:t>
      </w:r>
      <w:r w:rsidRPr="00F506F1">
        <w:t xml:space="preserve"> to be cancelled or postponed due to cast</w:t>
      </w:r>
      <w:r>
        <w:t xml:space="preserve">, </w:t>
      </w:r>
      <w:r w:rsidRPr="00F506F1">
        <w:t>crew</w:t>
      </w:r>
      <w:r>
        <w:t xml:space="preserve"> and staff</w:t>
      </w:r>
      <w:r w:rsidRPr="00F506F1">
        <w:t xml:space="preserve"> contracting the virus, but audience</w:t>
      </w:r>
      <w:r>
        <w:t>s</w:t>
      </w:r>
      <w:r w:rsidRPr="00F506F1">
        <w:t xml:space="preserve"> </w:t>
      </w:r>
      <w:r w:rsidR="00811D72">
        <w:t xml:space="preserve">were </w:t>
      </w:r>
      <w:r>
        <w:t>cancelling their tickets</w:t>
      </w:r>
      <w:r w:rsidRPr="00F506F1">
        <w:t xml:space="preserve"> due to hesitancy about attending events.</w:t>
      </w:r>
      <w:r w:rsidR="0043398B">
        <w:rPr>
          <w:rFonts w:ascii="ZWAdobeF" w:hAnsi="ZWAdobeF" w:cs="ZWAdobeF"/>
          <w:sz w:val="2"/>
          <w:szCs w:val="2"/>
        </w:rPr>
        <w:t>97F</w:t>
      </w:r>
      <w:r>
        <w:rPr>
          <w:rStyle w:val="FootnoteReference"/>
        </w:rPr>
        <w:footnoteReference w:id="99"/>
      </w:r>
    </w:p>
    <w:p w14:paraId="5705C0BC" w14:textId="719A2AB4" w:rsidR="00EC3E0E" w:rsidRDefault="00EC3E0E" w:rsidP="00EC3E0E">
      <w:pPr>
        <w:pStyle w:val="BodyText"/>
        <w:rPr>
          <w:rStyle w:val="normaltextrun"/>
          <w:rFonts w:ascii="Arial" w:hAnsi="Arial"/>
          <w:color w:val="000000"/>
        </w:rPr>
      </w:pPr>
      <w:r>
        <w:rPr>
          <w:rStyle w:val="normaltextrun"/>
          <w:rFonts w:ascii="Arial" w:hAnsi="Arial"/>
          <w:color w:val="000000"/>
        </w:rPr>
        <w:t xml:space="preserve">For example, </w:t>
      </w:r>
      <w:r>
        <w:rPr>
          <w:rFonts w:ascii="Arial" w:hAnsi="Arial"/>
          <w:color w:val="000000"/>
        </w:rPr>
        <w:t xml:space="preserve">a </w:t>
      </w:r>
      <w:r w:rsidRPr="00545DFD">
        <w:rPr>
          <w:rStyle w:val="normaltextrun"/>
          <w:rFonts w:ascii="Arial" w:hAnsi="Arial"/>
          <w:color w:val="000000"/>
        </w:rPr>
        <w:t>survey</w:t>
      </w:r>
      <w:r>
        <w:rPr>
          <w:rStyle w:val="normaltextrun"/>
          <w:rFonts w:ascii="Arial" w:hAnsi="Arial"/>
          <w:color w:val="000000"/>
        </w:rPr>
        <w:t xml:space="preserve"> </w:t>
      </w:r>
      <w:r w:rsidRPr="00574D89">
        <w:rPr>
          <w:rFonts w:ascii="Arial" w:hAnsi="Arial"/>
          <w:color w:val="000000"/>
        </w:rPr>
        <w:t>of visual artists by the National Association for the Visual Arts (NAVA)</w:t>
      </w:r>
      <w:r w:rsidR="0043398B">
        <w:rPr>
          <w:rFonts w:ascii="ZWAdobeF" w:hAnsi="ZWAdobeF" w:cs="ZWAdobeF"/>
          <w:sz w:val="2"/>
          <w:szCs w:val="2"/>
        </w:rPr>
        <w:t>98F</w:t>
      </w:r>
      <w:r>
        <w:rPr>
          <w:rStyle w:val="FootnoteReference"/>
          <w:rFonts w:ascii="Arial" w:hAnsi="Arial"/>
          <w:color w:val="000000"/>
        </w:rPr>
        <w:footnoteReference w:id="100"/>
      </w:r>
      <w:r w:rsidRPr="00545DFD">
        <w:rPr>
          <w:rStyle w:val="normaltextrun"/>
          <w:rFonts w:ascii="Arial" w:hAnsi="Arial"/>
          <w:color w:val="000000"/>
        </w:rPr>
        <w:t xml:space="preserve"> found that since the Omicron variant arrived in Australia</w:t>
      </w:r>
      <w:r>
        <w:rPr>
          <w:rStyle w:val="normaltextrun"/>
          <w:rFonts w:ascii="Arial" w:hAnsi="Arial"/>
          <w:color w:val="000000"/>
        </w:rPr>
        <w:t xml:space="preserve"> </w:t>
      </w:r>
      <w:r w:rsidRPr="00747A7D">
        <w:rPr>
          <w:rStyle w:val="normaltextrun"/>
          <w:rFonts w:ascii="Arial" w:hAnsi="Arial"/>
          <w:color w:val="000000"/>
        </w:rPr>
        <w:t>53% of working artists reported declines in their art making</w:t>
      </w:r>
      <w:r>
        <w:rPr>
          <w:rStyle w:val="normaltextrun"/>
          <w:rFonts w:ascii="Arial" w:hAnsi="Arial"/>
          <w:color w:val="000000"/>
        </w:rPr>
        <w:t>. The survey also found a</w:t>
      </w:r>
      <w:r w:rsidRPr="00747A7D">
        <w:rPr>
          <w:rStyle w:val="normaltextrun"/>
          <w:rFonts w:ascii="Arial" w:hAnsi="Arial"/>
          <w:color w:val="000000"/>
        </w:rPr>
        <w:t>rtwork sales have declined by 49%</w:t>
      </w:r>
      <w:r>
        <w:rPr>
          <w:rStyle w:val="normaltextrun"/>
          <w:rFonts w:ascii="Arial" w:hAnsi="Arial"/>
          <w:color w:val="000000"/>
        </w:rPr>
        <w:t xml:space="preserve">; </w:t>
      </w:r>
      <w:r w:rsidRPr="00747A7D">
        <w:rPr>
          <w:rStyle w:val="normaltextrun"/>
          <w:rFonts w:ascii="Arial" w:hAnsi="Arial"/>
          <w:color w:val="000000"/>
        </w:rPr>
        <w:t>67% of visual arts organisations were significantly or extremely impacted by closures on arts organisations</w:t>
      </w:r>
      <w:r>
        <w:rPr>
          <w:rStyle w:val="normaltextrun"/>
          <w:rFonts w:ascii="Arial" w:hAnsi="Arial"/>
          <w:color w:val="000000"/>
        </w:rPr>
        <w:t xml:space="preserve">; and </w:t>
      </w:r>
      <w:r w:rsidRPr="00747A7D">
        <w:rPr>
          <w:rStyle w:val="normaltextrun"/>
          <w:rFonts w:ascii="Arial" w:hAnsi="Arial"/>
          <w:color w:val="000000"/>
        </w:rPr>
        <w:t xml:space="preserve">49% of operations and staff have been impacted by Omicron wave infections or close contact furloughs. </w:t>
      </w:r>
    </w:p>
    <w:p w14:paraId="63459CB2" w14:textId="5E014749" w:rsidR="00832CAB" w:rsidRDefault="00C41026" w:rsidP="00832CAB">
      <w:pPr>
        <w:pStyle w:val="BodyText"/>
      </w:pPr>
      <w:r>
        <w:rPr>
          <w:color w:val="000000"/>
          <w:lang w:val="en-US"/>
        </w:rPr>
        <w:t>In addition, a</w:t>
      </w:r>
      <w:r w:rsidR="006E6167">
        <w:rPr>
          <w:color w:val="000000"/>
          <w:lang w:val="en-US"/>
        </w:rPr>
        <w:t xml:space="preserve">nalysis of the Council’s Multi Year Investment </w:t>
      </w:r>
      <w:r w:rsidR="00187473">
        <w:rPr>
          <w:color w:val="000000"/>
          <w:lang w:val="en-US"/>
        </w:rPr>
        <w:t>Organisations’</w:t>
      </w:r>
      <w:r w:rsidR="006E6167">
        <w:rPr>
          <w:color w:val="000000"/>
          <w:lang w:val="en-US"/>
        </w:rPr>
        <w:t xml:space="preserve"> </w:t>
      </w:r>
      <w:r w:rsidR="00771392">
        <w:rPr>
          <w:color w:val="000000"/>
          <w:lang w:val="en-US"/>
        </w:rPr>
        <w:t xml:space="preserve">2022 </w:t>
      </w:r>
      <w:r w:rsidR="006E6167">
        <w:rPr>
          <w:color w:val="000000"/>
          <w:lang w:val="en-US"/>
        </w:rPr>
        <w:t xml:space="preserve">KPI </w:t>
      </w:r>
      <w:r w:rsidR="00826A9D">
        <w:rPr>
          <w:color w:val="000000"/>
          <w:lang w:val="en-US"/>
        </w:rPr>
        <w:t>reports</w:t>
      </w:r>
      <w:r w:rsidR="006E6167">
        <w:rPr>
          <w:color w:val="000000"/>
          <w:lang w:val="en-US"/>
        </w:rPr>
        <w:t xml:space="preserve"> </w:t>
      </w:r>
      <w:r w:rsidR="006F2463">
        <w:rPr>
          <w:color w:val="000000"/>
          <w:lang w:val="en-US"/>
        </w:rPr>
        <w:t xml:space="preserve">(for 2021 activity) </w:t>
      </w:r>
      <w:r w:rsidR="006E6167">
        <w:rPr>
          <w:color w:val="000000"/>
          <w:lang w:val="en-US"/>
        </w:rPr>
        <w:t xml:space="preserve">show that </w:t>
      </w:r>
      <w:r w:rsidR="00825E45">
        <w:t>this</w:t>
      </w:r>
      <w:r w:rsidR="001C23AF">
        <w:t xml:space="preserve"> ongoing uncertainty has impacted, and continues to impact, </w:t>
      </w:r>
      <w:r w:rsidR="001225FD">
        <w:t>many</w:t>
      </w:r>
      <w:r w:rsidR="001C23AF">
        <w:t xml:space="preserve"> organisations. </w:t>
      </w:r>
      <w:r w:rsidR="00825E45">
        <w:t>First, it has</w:t>
      </w:r>
      <w:r w:rsidR="00832CAB">
        <w:t xml:space="preserve"> made it increasingly difficult for organisations to prepare for future activities or programs:</w:t>
      </w:r>
      <w:r w:rsidR="00832CAB">
        <w:tab/>
      </w:r>
    </w:p>
    <w:p w14:paraId="00994670" w14:textId="77777777" w:rsidR="00832CAB" w:rsidRDefault="00832CAB" w:rsidP="00832CAB">
      <w:pPr>
        <w:pStyle w:val="BodyText"/>
        <w:ind w:left="720"/>
      </w:pPr>
      <w:r>
        <w:rPr>
          <w:i/>
          <w:iCs/>
        </w:rPr>
        <w:t>‘</w:t>
      </w:r>
      <w:r w:rsidRPr="000827B3">
        <w:rPr>
          <w:i/>
          <w:iCs/>
        </w:rPr>
        <w:t>COVID had a significant impact, not only affecting our creative output, but forward planning and the ability of the organisation to deliver on our goals and make adequate preparation for future activities. It's likely this will continue long into 2022, before we're able to make the lasting changes we need to the company's operations and outlook</w:t>
      </w:r>
      <w:r w:rsidRPr="00110914">
        <w:t>.</w:t>
      </w:r>
      <w:r>
        <w:t>’</w:t>
      </w:r>
    </w:p>
    <w:p w14:paraId="132FEE23" w14:textId="2DC626C1" w:rsidR="00832CAB" w:rsidRPr="00EA562F" w:rsidRDefault="00832CAB" w:rsidP="00832CAB">
      <w:pPr>
        <w:pStyle w:val="BodyText"/>
      </w:pPr>
      <w:r>
        <w:t>Audience uncertainty</w:t>
      </w:r>
      <w:r w:rsidR="001C23AF">
        <w:t xml:space="preserve"> has</w:t>
      </w:r>
      <w:r>
        <w:t xml:space="preserve"> also impacted organisations as fewer people have been attending events and performances: </w:t>
      </w:r>
    </w:p>
    <w:p w14:paraId="223E618F" w14:textId="591B3C7A" w:rsidR="00832CAB" w:rsidRPr="005A4C3D" w:rsidRDefault="00832CAB" w:rsidP="00335448">
      <w:pPr>
        <w:pStyle w:val="BodyText"/>
        <w:ind w:left="720"/>
        <w:rPr>
          <w:i/>
          <w:iCs/>
        </w:rPr>
      </w:pPr>
      <w:r w:rsidRPr="005A4C3D">
        <w:rPr>
          <w:i/>
          <w:iCs/>
        </w:rPr>
        <w:t>‘</w:t>
      </w:r>
      <w:r w:rsidR="00335448">
        <w:rPr>
          <w:i/>
          <w:iCs/>
        </w:rPr>
        <w:t>Multiple performances, workshops and events were subject to rolling cancellations and subsequent reboots. Even once the possibility of planning events with certainty began to return, we faced the challenge of convincing audiences and participants to venture out again.’</w:t>
      </w:r>
    </w:p>
    <w:p w14:paraId="28AEAE4D" w14:textId="28190EFC" w:rsidR="00FE352B" w:rsidRDefault="00D07688" w:rsidP="00FE352B">
      <w:pPr>
        <w:pStyle w:val="BodyText"/>
      </w:pPr>
      <w:r>
        <w:t xml:space="preserve">Another challenge </w:t>
      </w:r>
      <w:r w:rsidR="001C23AF">
        <w:t>for multi</w:t>
      </w:r>
      <w:r w:rsidR="001D0A2E">
        <w:t xml:space="preserve"> </w:t>
      </w:r>
      <w:r w:rsidR="001C23AF">
        <w:t xml:space="preserve">year investment organisations </w:t>
      </w:r>
      <w:r>
        <w:t xml:space="preserve">has been the loss of staff and, in turn, the loss of industry knowledge and skills:  </w:t>
      </w:r>
    </w:p>
    <w:p w14:paraId="3CCB4144" w14:textId="126E3332" w:rsidR="00D07688" w:rsidRDefault="00D07688" w:rsidP="00FE352B">
      <w:pPr>
        <w:pStyle w:val="BodyText"/>
        <w:ind w:left="720"/>
        <w:rPr>
          <w:i/>
          <w:iCs/>
        </w:rPr>
      </w:pPr>
      <w:r w:rsidRPr="005B79C9">
        <w:rPr>
          <w:i/>
          <w:iCs/>
        </w:rPr>
        <w:t>‘Our organisation experienced a high turnover of staff due to the increased challenges about by the pandemic, higher workloads and low salaries… The rapid turned over staff and loss of corporate knowledge has destabilised the team and represents losses in productivity.’</w:t>
      </w:r>
    </w:p>
    <w:p w14:paraId="2BED6661" w14:textId="47F38431" w:rsidR="006C716E" w:rsidRDefault="006C716E" w:rsidP="006C716E">
      <w:pPr>
        <w:pStyle w:val="BodyText"/>
      </w:pPr>
      <w:r>
        <w:t>One organisation mentioned the lack of newly trained people joining the sector:</w:t>
      </w:r>
    </w:p>
    <w:p w14:paraId="12BFDECA" w14:textId="7E4C9957" w:rsidR="00EC3E0E" w:rsidRPr="002F173C" w:rsidRDefault="006C716E" w:rsidP="002F173C">
      <w:pPr>
        <w:pStyle w:val="BodyText"/>
        <w:ind w:left="720"/>
        <w:rPr>
          <w:i/>
          <w:iCs/>
        </w:rPr>
      </w:pPr>
      <w:r w:rsidRPr="00E06A4E">
        <w:rPr>
          <w:i/>
          <w:iCs/>
        </w:rPr>
        <w:lastRenderedPageBreak/>
        <w:t>‘With postponements, recruiting appropriately skilled technical staff has been difficult for new dates, due to a high level of demand, and not enough newly trained people joining the sector.’</w:t>
      </w:r>
    </w:p>
    <w:p w14:paraId="2F92BEA7" w14:textId="77777777" w:rsidR="006A6645" w:rsidRDefault="006A6645" w:rsidP="006A6645">
      <w:pPr>
        <w:pStyle w:val="Heading2"/>
        <w:rPr>
          <w:rFonts w:eastAsia="Arial"/>
        </w:rPr>
      </w:pPr>
      <w:bookmarkStart w:id="145" w:name="_Toc103931835"/>
      <w:bookmarkStart w:id="146" w:name="_Toc103943214"/>
      <w:r>
        <w:rPr>
          <w:rFonts w:eastAsia="Arial"/>
        </w:rPr>
        <w:t>I</w:t>
      </w:r>
      <w:r w:rsidRPr="00AC3449">
        <w:rPr>
          <w:rFonts w:eastAsia="Arial"/>
        </w:rPr>
        <w:t>ndependent artists</w:t>
      </w:r>
      <w:bookmarkEnd w:id="145"/>
      <w:bookmarkEnd w:id="146"/>
    </w:p>
    <w:p w14:paraId="546C3692" w14:textId="77777777" w:rsidR="004D2BF6" w:rsidRPr="004D2BF6" w:rsidRDefault="004D2BF6" w:rsidP="000D6862">
      <w:pPr>
        <w:pStyle w:val="Heading3"/>
      </w:pPr>
      <w:bookmarkStart w:id="147" w:name="_Toc97107219"/>
      <w:bookmarkStart w:id="148" w:name="_Toc97273406"/>
      <w:bookmarkStart w:id="149" w:name="_Toc97279982"/>
      <w:bookmarkStart w:id="150" w:name="_Toc97280161"/>
      <w:bookmarkStart w:id="151" w:name="_Toc97565261"/>
      <w:bookmarkStart w:id="152" w:name="_Toc103346873"/>
      <w:bookmarkStart w:id="153" w:name="_Toc103771387"/>
      <w:bookmarkStart w:id="154" w:name="_Toc103931836"/>
      <w:bookmarkStart w:id="155" w:name="_Toc103943215"/>
      <w:r w:rsidRPr="004D2BF6">
        <w:t>Artists were already low-income earners</w:t>
      </w:r>
      <w:bookmarkEnd w:id="147"/>
      <w:bookmarkEnd w:id="148"/>
      <w:bookmarkEnd w:id="149"/>
      <w:bookmarkEnd w:id="150"/>
      <w:bookmarkEnd w:id="151"/>
      <w:bookmarkEnd w:id="152"/>
      <w:bookmarkEnd w:id="153"/>
      <w:bookmarkEnd w:id="154"/>
      <w:bookmarkEnd w:id="155"/>
    </w:p>
    <w:p w14:paraId="5676659D" w14:textId="42652650" w:rsidR="004D2BF6" w:rsidRPr="004D2BF6" w:rsidRDefault="004D2BF6" w:rsidP="004D2BF6">
      <w:pPr>
        <w:pStyle w:val="BodyText"/>
      </w:pPr>
      <w:r w:rsidRPr="004D2BF6">
        <w:t>Before COVID-19, artists already earned below the Australian workforce average and often received income from multiple sources, including teaching, arts administration, community arts development and writing.</w:t>
      </w:r>
      <w:r w:rsidR="0043398B">
        <w:rPr>
          <w:rFonts w:ascii="ZWAdobeF" w:hAnsi="ZWAdobeF" w:cs="ZWAdobeF"/>
          <w:sz w:val="2"/>
          <w:szCs w:val="2"/>
        </w:rPr>
        <w:t>99F</w:t>
      </w:r>
      <w:r w:rsidRPr="004D2BF6">
        <w:rPr>
          <w:vertAlign w:val="superscript"/>
        </w:rPr>
        <w:footnoteReference w:id="101"/>
      </w:r>
    </w:p>
    <w:p w14:paraId="17252B6D" w14:textId="3D7BACB2" w:rsidR="004D2BF6" w:rsidRDefault="004D2BF6" w:rsidP="004D2BF6">
      <w:pPr>
        <w:pStyle w:val="BodyText"/>
      </w:pPr>
      <w:r w:rsidRPr="004D2BF6">
        <w:t>In 2014–15, average total incomes for artists were 21% below the Australian workforce average. In that same period, Australian practising professional artists earned average gross incomes of $48,400, which consisted of $18,800 in creative income, $13,900 in arts-related income, and $15,700 in non-arts income.</w:t>
      </w:r>
      <w:r w:rsidR="0043398B">
        <w:rPr>
          <w:rFonts w:ascii="ZWAdobeF" w:hAnsi="ZWAdobeF" w:cs="ZWAdobeF"/>
          <w:sz w:val="2"/>
          <w:szCs w:val="2"/>
        </w:rPr>
        <w:t>100F</w:t>
      </w:r>
      <w:r w:rsidRPr="004D2BF6">
        <w:rPr>
          <w:vertAlign w:val="superscript"/>
        </w:rPr>
        <w:footnoteReference w:id="102"/>
      </w:r>
      <w:r w:rsidRPr="004D2BF6">
        <w:t xml:space="preserve"> </w:t>
      </w:r>
    </w:p>
    <w:p w14:paraId="43A8907D" w14:textId="77777777" w:rsidR="000D6862" w:rsidRPr="004D2BF6" w:rsidRDefault="000D6862" w:rsidP="004D2BF6">
      <w:pPr>
        <w:pStyle w:val="BodyText"/>
      </w:pPr>
    </w:p>
    <w:p w14:paraId="2584B137" w14:textId="77777777" w:rsidR="00CF6955" w:rsidRPr="00CF6955" w:rsidRDefault="00CF6955" w:rsidP="000D6862">
      <w:pPr>
        <w:pStyle w:val="Heading3"/>
      </w:pPr>
      <w:bookmarkStart w:id="156" w:name="_Toc97273407"/>
      <w:bookmarkStart w:id="157" w:name="_Toc97279983"/>
      <w:bookmarkStart w:id="158" w:name="_Toc97280162"/>
      <w:bookmarkStart w:id="159" w:name="_Toc97565262"/>
      <w:bookmarkStart w:id="160" w:name="_Toc103346874"/>
      <w:bookmarkStart w:id="161" w:name="_Toc103771388"/>
      <w:bookmarkStart w:id="162" w:name="_Toc103931837"/>
      <w:bookmarkStart w:id="163" w:name="_Toc103943216"/>
      <w:r w:rsidRPr="00CF6955">
        <w:t>The way artists work</w:t>
      </w:r>
      <w:bookmarkEnd w:id="156"/>
      <w:bookmarkEnd w:id="157"/>
      <w:bookmarkEnd w:id="158"/>
      <w:bookmarkEnd w:id="159"/>
      <w:bookmarkEnd w:id="160"/>
      <w:bookmarkEnd w:id="161"/>
      <w:bookmarkEnd w:id="162"/>
      <w:bookmarkEnd w:id="163"/>
    </w:p>
    <w:p w14:paraId="6E8F53A9" w14:textId="4C9CF624" w:rsidR="00CF6955" w:rsidRPr="00CF6955" w:rsidRDefault="00CF6955" w:rsidP="00CF6955">
      <w:pPr>
        <w:pStyle w:val="BodyText"/>
      </w:pPr>
      <w:r w:rsidRPr="00CF6955">
        <w:t>Artists typically derive income from various sources and are commonly freelancers or self-employed. Even before the pandemic began, it was increasingly difficult for artists to make a living from their creative work as this income had decreased by 19% between 2009 and 2015.</w:t>
      </w:r>
      <w:r w:rsidR="0043398B">
        <w:rPr>
          <w:rFonts w:ascii="ZWAdobeF" w:hAnsi="ZWAdobeF" w:cs="ZWAdobeF"/>
          <w:sz w:val="2"/>
          <w:szCs w:val="2"/>
        </w:rPr>
        <w:t>101F</w:t>
      </w:r>
      <w:r w:rsidRPr="00CF6955">
        <w:rPr>
          <w:vertAlign w:val="superscript"/>
        </w:rPr>
        <w:footnoteReference w:id="103"/>
      </w:r>
      <w:r w:rsidRPr="00CF6955">
        <w:t xml:space="preserve"> </w:t>
      </w:r>
    </w:p>
    <w:p w14:paraId="0B895B94" w14:textId="3C9B95E0" w:rsidR="00CF6955" w:rsidRPr="00CF6955" w:rsidRDefault="00CF6955" w:rsidP="00CF6955">
      <w:pPr>
        <w:pStyle w:val="BodyText"/>
      </w:pPr>
      <w:r w:rsidRPr="00CF6955">
        <w:t>As the original ‘gig’ workers, the vast majority of artists work as freelance or self-employed in their art form (81%), relying most commonly on contracts for fixed amounts (43%) followed by royalties and advances (35%).</w:t>
      </w:r>
      <w:r w:rsidR="0043398B">
        <w:rPr>
          <w:rFonts w:ascii="ZWAdobeF" w:hAnsi="ZWAdobeF" w:cs="ZWAdobeF"/>
          <w:sz w:val="2"/>
          <w:szCs w:val="2"/>
        </w:rPr>
        <w:t>102F</w:t>
      </w:r>
      <w:r w:rsidRPr="00CF6955">
        <w:rPr>
          <w:vertAlign w:val="superscript"/>
        </w:rPr>
        <w:footnoteReference w:id="104"/>
      </w:r>
      <w:r w:rsidRPr="00CF6955">
        <w:t xml:space="preserve">  </w:t>
      </w:r>
    </w:p>
    <w:p w14:paraId="2F8B06DF" w14:textId="37D18133" w:rsidR="00CF6955" w:rsidRPr="00CF6955" w:rsidRDefault="00CF6955" w:rsidP="00CF6955">
      <w:pPr>
        <w:pStyle w:val="BodyText"/>
      </w:pPr>
      <w:r w:rsidRPr="00CF6955">
        <w:t>In industries such as film, TV and the performing arts, it is common for cast and crew to be treated as short-term employees by production companies. As they are treated as employees for the short amount of time they work on a production, they often don’t have or need ABNs. While they may work full time hours, they would rarely be employed for longer than 12 months by the same company.</w:t>
      </w:r>
      <w:r w:rsidR="0043398B">
        <w:rPr>
          <w:rFonts w:ascii="ZWAdobeF" w:hAnsi="ZWAdobeF" w:cs="ZWAdobeF"/>
          <w:sz w:val="2"/>
          <w:szCs w:val="2"/>
        </w:rPr>
        <w:t>103F</w:t>
      </w:r>
      <w:r w:rsidRPr="00CF6955">
        <w:rPr>
          <w:vertAlign w:val="superscript"/>
        </w:rPr>
        <w:footnoteReference w:id="105"/>
      </w:r>
    </w:p>
    <w:p w14:paraId="03936525" w14:textId="7B565EA9" w:rsidR="00CF6955" w:rsidRPr="00CF6955" w:rsidRDefault="00CF6955" w:rsidP="00CF6955">
      <w:pPr>
        <w:pStyle w:val="BodyText"/>
      </w:pPr>
      <w:r w:rsidRPr="00CF6955">
        <w:t>For musicians</w:t>
      </w:r>
      <w:r w:rsidRPr="00CF6955" w:rsidDel="003941EA">
        <w:t>,</w:t>
      </w:r>
      <w:r w:rsidRPr="00CF6955">
        <w:t xml:space="preserve"> less than a fifth of all work being paid between 2016 and 2020 was paid on a continuing salaried basis.</w:t>
      </w:r>
      <w:r w:rsidR="0043398B">
        <w:rPr>
          <w:rFonts w:ascii="ZWAdobeF" w:hAnsi="ZWAdobeF" w:cs="ZWAdobeF"/>
          <w:sz w:val="2"/>
          <w:szCs w:val="2"/>
        </w:rPr>
        <w:t>104F</w:t>
      </w:r>
      <w:r w:rsidRPr="00CF6955">
        <w:rPr>
          <w:vertAlign w:val="superscript"/>
        </w:rPr>
        <w:footnoteReference w:id="106"/>
      </w:r>
      <w:r w:rsidRPr="00CF6955">
        <w:t xml:space="preserve"> </w:t>
      </w:r>
    </w:p>
    <w:p w14:paraId="489BDE89" w14:textId="77777777" w:rsidR="00CF6955" w:rsidRPr="00CF6955" w:rsidRDefault="00CF6955" w:rsidP="00CF6955">
      <w:pPr>
        <w:pStyle w:val="BodyText"/>
      </w:pPr>
    </w:p>
    <w:p w14:paraId="1EB4FA0D" w14:textId="77777777" w:rsidR="00CF6955" w:rsidRPr="00CF6955" w:rsidRDefault="00CF6955" w:rsidP="000D6862">
      <w:pPr>
        <w:pStyle w:val="Heading3"/>
      </w:pPr>
      <w:bookmarkStart w:id="164" w:name="_Toc97107221"/>
      <w:bookmarkStart w:id="165" w:name="_Toc97273408"/>
      <w:bookmarkStart w:id="166" w:name="_Toc97279984"/>
      <w:bookmarkStart w:id="167" w:name="_Toc97280163"/>
      <w:bookmarkStart w:id="168" w:name="_Toc97565263"/>
      <w:bookmarkStart w:id="169" w:name="_Toc103346875"/>
      <w:bookmarkStart w:id="170" w:name="_Toc103771389"/>
      <w:bookmarkStart w:id="171" w:name="_Toc103931838"/>
      <w:bookmarkStart w:id="172" w:name="_Toc103943217"/>
      <w:r w:rsidRPr="00CF6955">
        <w:t>Artists were immediately impacted by cancellations and closures</w:t>
      </w:r>
      <w:bookmarkEnd w:id="164"/>
      <w:bookmarkEnd w:id="165"/>
      <w:bookmarkEnd w:id="166"/>
      <w:bookmarkEnd w:id="167"/>
      <w:bookmarkEnd w:id="168"/>
      <w:bookmarkEnd w:id="169"/>
      <w:bookmarkEnd w:id="170"/>
      <w:bookmarkEnd w:id="171"/>
      <w:bookmarkEnd w:id="172"/>
    </w:p>
    <w:p w14:paraId="1FE974C1" w14:textId="77777777" w:rsidR="00CF6955" w:rsidRPr="00CF6955" w:rsidRDefault="00CF6955" w:rsidP="00CF6955">
      <w:pPr>
        <w:pStyle w:val="BodyText"/>
      </w:pPr>
      <w:r w:rsidRPr="00CF6955">
        <w:t xml:space="preserve">Due to the way artists work, the impacts of COVID-19 were immediately felt by artists and creative workers as many live events and cultural spaces were the first to close. </w:t>
      </w:r>
    </w:p>
    <w:p w14:paraId="5A30D426" w14:textId="6352E304" w:rsidR="00CF6955" w:rsidRPr="00CF6955" w:rsidRDefault="00CF6955" w:rsidP="00CF6955">
      <w:pPr>
        <w:pStyle w:val="BodyText"/>
      </w:pPr>
      <w:r w:rsidRPr="00CF6955">
        <w:t>By 16 March 2020 – only 5 days after a pandemic was declared – an estimated 20,000 work opportunities had been cancelled, impacting 190,000 people</w:t>
      </w:r>
      <w:r w:rsidR="00064DC6">
        <w:t>.</w:t>
      </w:r>
      <w:r w:rsidR="0043398B">
        <w:rPr>
          <w:rFonts w:ascii="ZWAdobeF" w:hAnsi="ZWAdobeF" w:cs="ZWAdobeF"/>
          <w:sz w:val="2"/>
          <w:szCs w:val="2"/>
        </w:rPr>
        <w:t>105F</w:t>
      </w:r>
      <w:r w:rsidR="00064DC6">
        <w:rPr>
          <w:rStyle w:val="FootnoteReference"/>
        </w:rPr>
        <w:footnoteReference w:id="107"/>
      </w:r>
      <w:r w:rsidR="00064DC6" w:rsidRPr="00CF6955">
        <w:t xml:space="preserve"> </w:t>
      </w:r>
      <w:r w:rsidRPr="00CF6955">
        <w:t>his equated to over $47m of lost income due to COVID-19 by small to medium businesses and independent contractors.</w:t>
      </w:r>
      <w:r w:rsidR="0043398B">
        <w:rPr>
          <w:rFonts w:ascii="ZWAdobeF" w:hAnsi="ZWAdobeF" w:cs="ZWAdobeF"/>
          <w:sz w:val="2"/>
          <w:szCs w:val="2"/>
        </w:rPr>
        <w:t>106F</w:t>
      </w:r>
      <w:r w:rsidRPr="00CF6955">
        <w:rPr>
          <w:vertAlign w:val="superscript"/>
        </w:rPr>
        <w:footnoteReference w:id="108"/>
      </w:r>
    </w:p>
    <w:p w14:paraId="1E478CF3" w14:textId="35352627" w:rsidR="00CF6955" w:rsidRDefault="00CF6955" w:rsidP="00CF6955">
      <w:pPr>
        <w:pStyle w:val="BodyText"/>
      </w:pPr>
      <w:r w:rsidRPr="00CF6955">
        <w:lastRenderedPageBreak/>
        <w:t>Surges in COVID-19 transmissions and the imposing of necessary public health orders since March 2020, has seen artists’ incomes continue to suffer throughout the pandemic.</w:t>
      </w:r>
    </w:p>
    <w:p w14:paraId="53058567" w14:textId="77777777" w:rsidR="000D6862" w:rsidRPr="00CF6955" w:rsidRDefault="000D6862" w:rsidP="00CF6955">
      <w:pPr>
        <w:pStyle w:val="BodyText"/>
      </w:pPr>
    </w:p>
    <w:p w14:paraId="2CD75681" w14:textId="77777777" w:rsidR="0046309C" w:rsidRPr="0046309C" w:rsidRDefault="0046309C" w:rsidP="000D6862">
      <w:pPr>
        <w:pStyle w:val="Heading3"/>
      </w:pPr>
      <w:bookmarkStart w:id="173" w:name="_Toc97107222"/>
      <w:bookmarkStart w:id="174" w:name="_Toc97273409"/>
      <w:bookmarkStart w:id="175" w:name="_Toc97279985"/>
      <w:bookmarkStart w:id="176" w:name="_Toc97280164"/>
      <w:bookmarkStart w:id="177" w:name="_Toc97565264"/>
      <w:bookmarkStart w:id="178" w:name="_Toc103346876"/>
      <w:bookmarkStart w:id="179" w:name="_Toc103771390"/>
      <w:bookmarkStart w:id="180" w:name="_Toc103931839"/>
      <w:bookmarkStart w:id="181" w:name="_Toc103943218"/>
      <w:r w:rsidRPr="0046309C">
        <w:t>Lost income</w:t>
      </w:r>
      <w:bookmarkEnd w:id="173"/>
      <w:bookmarkEnd w:id="174"/>
      <w:bookmarkEnd w:id="175"/>
      <w:bookmarkEnd w:id="176"/>
      <w:bookmarkEnd w:id="177"/>
      <w:bookmarkEnd w:id="178"/>
      <w:bookmarkEnd w:id="179"/>
      <w:bookmarkEnd w:id="180"/>
      <w:bookmarkEnd w:id="181"/>
    </w:p>
    <w:p w14:paraId="5C1E5326" w14:textId="7DDBFD18" w:rsidR="0046309C" w:rsidRPr="0046309C" w:rsidRDefault="0046309C" w:rsidP="0046309C">
      <w:pPr>
        <w:pStyle w:val="BodyText"/>
      </w:pPr>
      <w:r w:rsidRPr="0046309C">
        <w:t>There have been various sector surveys analysing the amount of income lost by artists and creative workers since the beginning of the pandemic.</w:t>
      </w:r>
      <w:r w:rsidR="0043398B">
        <w:rPr>
          <w:rFonts w:ascii="ZWAdobeF" w:hAnsi="ZWAdobeF" w:cs="ZWAdobeF"/>
          <w:sz w:val="2"/>
          <w:szCs w:val="2"/>
        </w:rPr>
        <w:t>107F</w:t>
      </w:r>
      <w:r w:rsidRPr="0046309C">
        <w:rPr>
          <w:vertAlign w:val="superscript"/>
        </w:rPr>
        <w:footnoteReference w:id="109"/>
      </w:r>
      <w:r w:rsidRPr="0046309C">
        <w:t xml:space="preserve"> </w:t>
      </w:r>
    </w:p>
    <w:p w14:paraId="1268D32A" w14:textId="565A313A" w:rsidR="0046309C" w:rsidRDefault="0046309C" w:rsidP="0046309C">
      <w:pPr>
        <w:pStyle w:val="BodyText"/>
      </w:pPr>
      <w:r w:rsidRPr="0046309C">
        <w:t>An Australia Council survey conducted in September 2021 highlighted that independent artists lost myriad sources of income when the 2021 restrictions were introduced, with two thirds having lost fees for an event related to creative work, including a talk, seminar, presentation (64%). Over half lost non-creative income, for example from teaching or hospitality (55%).</w:t>
      </w:r>
    </w:p>
    <w:p w14:paraId="7032B0D6" w14:textId="77777777" w:rsidR="00C5311D" w:rsidRPr="0046309C" w:rsidRDefault="00C5311D" w:rsidP="0046309C">
      <w:pPr>
        <w:pStyle w:val="BodyText"/>
      </w:pPr>
    </w:p>
    <w:p w14:paraId="6B206695" w14:textId="73810637" w:rsidR="00C77395" w:rsidRDefault="0046309C" w:rsidP="00C5311D">
      <w:pPr>
        <w:pStyle w:val="BodyText"/>
        <w:keepNext/>
        <w:rPr>
          <w:b/>
          <w:bCs/>
        </w:rPr>
      </w:pPr>
      <w:r w:rsidRPr="0046309C">
        <w:rPr>
          <w:b/>
          <w:bCs/>
        </w:rPr>
        <w:t>Figure 1. Since the 2021 restrictions were introduced, what types of income have you lost? (Select all that apply) </w:t>
      </w:r>
    </w:p>
    <w:p w14:paraId="58A4416A" w14:textId="217205B5" w:rsidR="00C77395" w:rsidRPr="0046309C" w:rsidRDefault="00C77395" w:rsidP="0046309C">
      <w:pPr>
        <w:pStyle w:val="BodyText"/>
        <w:rPr>
          <w:b/>
          <w:bCs/>
        </w:rPr>
      </w:pPr>
      <w:r>
        <w:rPr>
          <w:b/>
          <w:bCs/>
          <w:noProof/>
        </w:rPr>
        <w:drawing>
          <wp:inline distT="0" distB="0" distL="0" distR="0" wp14:anchorId="2E51A43B" wp14:editId="5173B560">
            <wp:extent cx="6872288" cy="2880995"/>
            <wp:effectExtent l="0" t="0" r="5080" b="14605"/>
            <wp:docPr id="2" name="Chart 2" descr="P396#yIS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B6725FA" w14:textId="7DFAA54A" w:rsidR="0046309C" w:rsidRPr="0046309C" w:rsidRDefault="0046309C" w:rsidP="00C5311D">
      <w:pPr>
        <w:pStyle w:val="BodyText"/>
        <w:rPr>
          <w:b/>
          <w:bCs/>
        </w:rPr>
      </w:pPr>
    </w:p>
    <w:p w14:paraId="0F2898D4" w14:textId="6777B364" w:rsidR="0046309C" w:rsidRDefault="0046309C" w:rsidP="0046309C">
      <w:pPr>
        <w:pStyle w:val="BodyText"/>
      </w:pPr>
      <w:r w:rsidRPr="0046309C">
        <w:t>Loss of income and work can have a profound impact on mental health as ‘occupational identity and the ability to earn an income are fundamental to individuality, sense of purpose, and autonomy in adults; their loss is a profound one, leading to demoralisation and depression.’</w:t>
      </w:r>
      <w:r w:rsidR="0043398B">
        <w:rPr>
          <w:rFonts w:ascii="ZWAdobeF" w:hAnsi="ZWAdobeF" w:cs="ZWAdobeF"/>
          <w:sz w:val="2"/>
          <w:szCs w:val="2"/>
        </w:rPr>
        <w:t>108F</w:t>
      </w:r>
      <w:r w:rsidRPr="0046309C">
        <w:rPr>
          <w:vertAlign w:val="superscript"/>
        </w:rPr>
        <w:footnoteReference w:id="110"/>
      </w:r>
      <w:r w:rsidRPr="0046309C">
        <w:t xml:space="preserve"> In this way, financial hardship has severely impacted the mental health of artists in Australia during the COVID-19 pandemic (see page 26 for more detail).</w:t>
      </w:r>
      <w:r w:rsidR="0043398B">
        <w:rPr>
          <w:rFonts w:ascii="ZWAdobeF" w:hAnsi="ZWAdobeF" w:cs="ZWAdobeF"/>
          <w:sz w:val="2"/>
          <w:szCs w:val="2"/>
        </w:rPr>
        <w:t>109F</w:t>
      </w:r>
      <w:r w:rsidRPr="0046309C">
        <w:rPr>
          <w:vertAlign w:val="superscript"/>
        </w:rPr>
        <w:footnoteReference w:id="111"/>
      </w:r>
    </w:p>
    <w:p w14:paraId="647EC108" w14:textId="77777777" w:rsidR="000D6862" w:rsidRDefault="000D6862" w:rsidP="0046309C">
      <w:pPr>
        <w:pStyle w:val="BodyText"/>
      </w:pPr>
    </w:p>
    <w:p w14:paraId="6EC394B7" w14:textId="77777777" w:rsidR="004F767D" w:rsidRPr="004F767D" w:rsidRDefault="004F767D" w:rsidP="000D6862">
      <w:pPr>
        <w:pStyle w:val="Heading3"/>
      </w:pPr>
      <w:bookmarkStart w:id="182" w:name="_Toc97273410"/>
      <w:bookmarkStart w:id="183" w:name="_Toc97279986"/>
      <w:bookmarkStart w:id="184" w:name="_Toc97280165"/>
      <w:bookmarkStart w:id="185" w:name="_Toc97565265"/>
      <w:bookmarkStart w:id="186" w:name="_Toc103346877"/>
      <w:bookmarkStart w:id="187" w:name="_Toc103771391"/>
      <w:bookmarkStart w:id="188" w:name="_Toc103931840"/>
      <w:bookmarkStart w:id="189" w:name="_Toc103943219"/>
      <w:r w:rsidRPr="004F767D">
        <w:lastRenderedPageBreak/>
        <w:t>Government support for artists and creative workers</w:t>
      </w:r>
      <w:bookmarkEnd w:id="182"/>
      <w:bookmarkEnd w:id="183"/>
      <w:bookmarkEnd w:id="184"/>
      <w:bookmarkEnd w:id="185"/>
      <w:bookmarkEnd w:id="186"/>
      <w:bookmarkEnd w:id="187"/>
      <w:bookmarkEnd w:id="188"/>
      <w:bookmarkEnd w:id="189"/>
    </w:p>
    <w:p w14:paraId="602D2E22" w14:textId="77777777" w:rsidR="004F767D" w:rsidRPr="004F767D" w:rsidRDefault="004F767D" w:rsidP="004F767D">
      <w:pPr>
        <w:pStyle w:val="BodyText"/>
      </w:pPr>
      <w:r w:rsidRPr="004F767D">
        <w:t xml:space="preserve">Targeted government support packages (such as </w:t>
      </w:r>
      <w:bookmarkStart w:id="190" w:name="_Toc96589239"/>
      <w:bookmarkStart w:id="191" w:name="_Toc96605037"/>
      <w:bookmarkStart w:id="192" w:name="_Toc97026774"/>
      <w:r w:rsidRPr="004F767D">
        <w:t>Restart Investment to Sustain and Expand Fund [RISE</w:t>
      </w:r>
      <w:bookmarkEnd w:id="190"/>
      <w:bookmarkEnd w:id="191"/>
      <w:bookmarkEnd w:id="192"/>
      <w:r w:rsidRPr="004F767D">
        <w:t xml:space="preserve">] and the Regional Arts Fund), as well as whole of government schemes (such as JobKeeper, the COVID-19 Disaster Payment and small business grants) have helped many artists and creative workers stay afloat. </w:t>
      </w:r>
    </w:p>
    <w:p w14:paraId="404FBFB8" w14:textId="77777777" w:rsidR="004F767D" w:rsidRPr="004F767D" w:rsidRDefault="004F767D" w:rsidP="004F767D">
      <w:pPr>
        <w:pStyle w:val="BodyText"/>
      </w:pPr>
      <w:r w:rsidRPr="004F767D">
        <w:t>State-based small business grants helped small- and micro-businesses through hardship. The COVID-19 Small Business Support grants, available in NSW, QLD, ACT and SA, were one-off tax-free grants of varying amounts to help impacted businesses, sole traders, and not-for-profits. The COVID-19 Micro-Business grant was a fortnightly tax-free grant of $1,500 to help impacted micro-businesses, sole traders, and not-for-profits in NSW.</w:t>
      </w:r>
    </w:p>
    <w:p w14:paraId="4E7AC8DD" w14:textId="77777777" w:rsidR="004F767D" w:rsidRPr="004F767D" w:rsidRDefault="004F767D" w:rsidP="004F767D">
      <w:pPr>
        <w:pStyle w:val="BodyText"/>
      </w:pPr>
      <w:r w:rsidRPr="004F767D">
        <w:t xml:space="preserve">Similarly, the COVID-19 Disaster Payment, announced in May 2021, provided those who had lost work or income as a result of COVID-19 with a lump sum payment. The type of payment received depended on whether an individual received any other Centrelink payments. </w:t>
      </w:r>
    </w:p>
    <w:p w14:paraId="5778AA03" w14:textId="77777777" w:rsidR="004F767D" w:rsidRPr="004F767D" w:rsidRDefault="004F767D" w:rsidP="004F767D">
      <w:pPr>
        <w:pStyle w:val="BodyText"/>
      </w:pPr>
      <w:r w:rsidRPr="004F767D">
        <w:t xml:space="preserve">The Council’s survey of independent artists found that of the artists who applied for the COVID-19 Disaster Payment (50%), eight in ten were successful (82%). The survey also showed two in five artists applied for a small business grant during the 2021 restrictions (37%) – of these, six in ten were successful (61%).  </w:t>
      </w:r>
    </w:p>
    <w:p w14:paraId="4B1F2C3A" w14:textId="40FF364F" w:rsidR="004F767D" w:rsidRPr="004F767D" w:rsidRDefault="004F767D" w:rsidP="004F767D">
      <w:pPr>
        <w:pStyle w:val="BodyText"/>
      </w:pPr>
      <w:r w:rsidRPr="004F767D">
        <w:t>The Council also administered a variety of targeted support for artists, arts practitioners, arts groups and arts organisations coping with the impact of COVID-19. The Council’s first response package, the</w:t>
      </w:r>
      <w:r w:rsidRPr="004F767D">
        <w:rPr>
          <w:bCs/>
        </w:rPr>
        <w:t xml:space="preserve"> Resilience </w:t>
      </w:r>
      <w:r w:rsidR="007A56CB">
        <w:rPr>
          <w:bCs/>
        </w:rPr>
        <w:t>F</w:t>
      </w:r>
      <w:r w:rsidRPr="004F767D">
        <w:rPr>
          <w:bCs/>
        </w:rPr>
        <w:t xml:space="preserve">und, </w:t>
      </w:r>
      <w:r w:rsidRPr="004F767D">
        <w:t>provided emergency relief to individuals, groups and organisations.</w:t>
      </w:r>
      <w:r w:rsidR="0043398B">
        <w:rPr>
          <w:rFonts w:ascii="ZWAdobeF" w:hAnsi="ZWAdobeF" w:cs="ZWAdobeF"/>
          <w:sz w:val="2"/>
          <w:szCs w:val="2"/>
        </w:rPr>
        <w:t>110F</w:t>
      </w:r>
      <w:r w:rsidRPr="004F767D">
        <w:rPr>
          <w:vertAlign w:val="superscript"/>
        </w:rPr>
        <w:footnoteReference w:id="112"/>
      </w:r>
      <w:r w:rsidRPr="004F767D">
        <w:t xml:space="preserve"> Our other responses included reporting and other grant condition relief, including: suspending current investment programs and introducing new ones focused on immediate relief; First Nations support; sector roundtables; digital support and industry development initiatives; and research and analysis of COVID-19 impacts.</w:t>
      </w:r>
      <w:r w:rsidR="0043398B">
        <w:rPr>
          <w:rFonts w:ascii="ZWAdobeF" w:hAnsi="ZWAdobeF" w:cs="ZWAdobeF"/>
          <w:sz w:val="2"/>
          <w:szCs w:val="2"/>
        </w:rPr>
        <w:t>111F</w:t>
      </w:r>
      <w:r w:rsidRPr="004F767D">
        <w:rPr>
          <w:vertAlign w:val="superscript"/>
        </w:rPr>
        <w:footnoteReference w:id="113"/>
      </w:r>
      <w:r w:rsidRPr="004F767D">
        <w:t xml:space="preserve"> </w:t>
      </w:r>
    </w:p>
    <w:p w14:paraId="05F07F92" w14:textId="19D3440D" w:rsidR="004F767D" w:rsidRPr="004F767D" w:rsidRDefault="004F767D" w:rsidP="004F767D">
      <w:pPr>
        <w:pStyle w:val="BodyText"/>
      </w:pPr>
      <w:r w:rsidRPr="004F767D">
        <w:t>JobKeeper was particularly welcomed with an estimated two-thirds of creative workers supported through the scheme throughout the early stages of the pandemic, based on data from Treasury and the tax office.</w:t>
      </w:r>
      <w:r w:rsidR="0043398B">
        <w:rPr>
          <w:rFonts w:ascii="ZWAdobeF" w:hAnsi="ZWAdobeF" w:cs="ZWAdobeF"/>
          <w:sz w:val="2"/>
          <w:szCs w:val="2"/>
        </w:rPr>
        <w:t>112F</w:t>
      </w:r>
      <w:r w:rsidRPr="004F767D">
        <w:rPr>
          <w:vertAlign w:val="superscript"/>
        </w:rPr>
        <w:footnoteReference w:id="114"/>
      </w:r>
      <w:r w:rsidRPr="004F767D">
        <w:t xml:space="preserve"> Australia Council modelling also indicated that many of the multi-year investment organisations that the Council supports were able to access JobKeeper to continue to pay workers.</w:t>
      </w:r>
    </w:p>
    <w:p w14:paraId="765AB6FD" w14:textId="58E667E9" w:rsidR="004F767D" w:rsidRPr="004F767D" w:rsidRDefault="004F767D" w:rsidP="004F767D">
      <w:pPr>
        <w:pStyle w:val="BodyText"/>
      </w:pPr>
      <w:r w:rsidRPr="004F767D">
        <w:t>A report released by Bureau of Communications and Arts Research (BCAR) in 2020 estimated the potential proportion of employees and small businesses in the sector who may have been eligible for government assistance, particularly the JobKeeper wage subsidy. It found that up to around 90% of the cultural and creative sector workforce may be eligible for JobKeeper, subject to their employer meeting further eligibility criteria.</w:t>
      </w:r>
      <w:r w:rsidR="0043398B">
        <w:rPr>
          <w:rFonts w:ascii="ZWAdobeF" w:hAnsi="ZWAdobeF" w:cs="ZWAdobeF"/>
          <w:sz w:val="2"/>
          <w:szCs w:val="2"/>
        </w:rPr>
        <w:t>113F</w:t>
      </w:r>
      <w:r w:rsidRPr="004F767D">
        <w:rPr>
          <w:vertAlign w:val="superscript"/>
        </w:rPr>
        <w:footnoteReference w:id="115"/>
      </w:r>
      <w:r w:rsidRPr="004F767D">
        <w:t xml:space="preserve"> </w:t>
      </w:r>
    </w:p>
    <w:p w14:paraId="112AF589" w14:textId="77777777" w:rsidR="004F767D" w:rsidRPr="004F767D" w:rsidRDefault="004F767D" w:rsidP="004F767D">
      <w:pPr>
        <w:pStyle w:val="BodyText"/>
      </w:pPr>
      <w:r w:rsidRPr="004F767D">
        <w:t>BCAR estimated those employed full or part time, or casuals employed on a regular and systematic basis for more than 12 months, may have been eligible, depending on meeting other criteria, including age, visa, citizen/residency status for tax purposes, not already in receipt of a JobKeeper payment from another employer, and their employer meeting certain turnover requirements. The report also outlined self-employed individuals may also be able to qualify for JobKeeper payments.</w:t>
      </w:r>
    </w:p>
    <w:p w14:paraId="381A325B" w14:textId="77777777" w:rsidR="004F767D" w:rsidRPr="004F767D" w:rsidRDefault="004F767D" w:rsidP="004F767D">
      <w:pPr>
        <w:pStyle w:val="BodyText"/>
      </w:pPr>
      <w:r w:rsidRPr="004F767D">
        <w:lastRenderedPageBreak/>
        <w:t>The Council’s research, together with various sector surveys, found, however, that due to the specific nature of our industry</w:t>
      </w:r>
      <w:r w:rsidRPr="004F767D">
        <w:softHyphen/>
        <w:t xml:space="preserve"> – characterised by high levels of casualisation and freelancing – some artists and creative workers faced, and will continue to face, structural barriers to accessing general economy-wide support packages. A summary of these barriers is outlined below.</w:t>
      </w:r>
    </w:p>
    <w:p w14:paraId="600A9FA1" w14:textId="77777777" w:rsidR="004F767D" w:rsidRPr="004F767D" w:rsidRDefault="004F767D" w:rsidP="004F767D">
      <w:pPr>
        <w:pStyle w:val="BodyText"/>
      </w:pPr>
    </w:p>
    <w:p w14:paraId="129AC3C6" w14:textId="77777777" w:rsidR="004F767D" w:rsidRPr="004F767D" w:rsidRDefault="004F767D" w:rsidP="00B501C4">
      <w:pPr>
        <w:pStyle w:val="Heading3"/>
      </w:pPr>
      <w:bookmarkStart w:id="193" w:name="_Toc96605043"/>
      <w:bookmarkStart w:id="194" w:name="_Toc97026778"/>
      <w:bookmarkStart w:id="195" w:name="_Toc97273411"/>
      <w:bookmarkStart w:id="196" w:name="_Toc97279987"/>
      <w:bookmarkStart w:id="197" w:name="_Toc97280166"/>
      <w:bookmarkStart w:id="198" w:name="_Toc97565266"/>
      <w:bookmarkStart w:id="199" w:name="_Toc103346878"/>
      <w:bookmarkStart w:id="200" w:name="_Toc103771392"/>
      <w:bookmarkStart w:id="201" w:name="_Toc103931841"/>
      <w:bookmarkStart w:id="202" w:name="_Toc103943220"/>
      <w:r w:rsidRPr="004F767D">
        <w:t>Barriers to accessing government support</w:t>
      </w:r>
      <w:bookmarkEnd w:id="193"/>
      <w:bookmarkEnd w:id="194"/>
      <w:bookmarkEnd w:id="195"/>
      <w:bookmarkEnd w:id="196"/>
      <w:bookmarkEnd w:id="197"/>
      <w:bookmarkEnd w:id="198"/>
      <w:bookmarkEnd w:id="199"/>
      <w:bookmarkEnd w:id="200"/>
      <w:bookmarkEnd w:id="201"/>
      <w:bookmarkEnd w:id="202"/>
    </w:p>
    <w:p w14:paraId="56554610" w14:textId="5DD3BCA0" w:rsidR="004F767D" w:rsidRPr="004F767D" w:rsidRDefault="004F767D" w:rsidP="004F767D">
      <w:pPr>
        <w:pStyle w:val="BodyText"/>
      </w:pPr>
      <w:r w:rsidRPr="004F767D">
        <w:t xml:space="preserve">Although much of the sector was potentially eligible for various government support packages, a number of artists experienced barriers </w:t>
      </w:r>
      <w:r w:rsidR="00C85555">
        <w:t xml:space="preserve">to </w:t>
      </w:r>
      <w:r w:rsidRPr="004F767D">
        <w:t xml:space="preserve">accessing payments </w:t>
      </w:r>
      <w:r w:rsidRPr="004F767D">
        <w:softHyphen/>
        <w:t xml:space="preserve">– both in terms of barriers throughout the application process halting applications, and barriers to receiving a successful application result.  </w:t>
      </w:r>
    </w:p>
    <w:p w14:paraId="206DCA6D" w14:textId="77777777" w:rsidR="004F767D" w:rsidRPr="004F767D" w:rsidRDefault="004F767D" w:rsidP="004F767D">
      <w:pPr>
        <w:pStyle w:val="BodyText"/>
      </w:pPr>
      <w:r w:rsidRPr="004F767D">
        <w:t xml:space="preserve">The Council interviewed ten industry representatives from all art forms and conducted a survey with 102 independent artists to gain insights into artists’ experiences accessing the 2021 COVID-19 government assistance (see Appendix A for more information). </w:t>
      </w:r>
    </w:p>
    <w:p w14:paraId="2EFB7FAE" w14:textId="77777777" w:rsidR="004F767D" w:rsidRPr="004F767D" w:rsidRDefault="004F767D" w:rsidP="004F767D">
      <w:pPr>
        <w:pStyle w:val="BodyText"/>
      </w:pPr>
      <w:r w:rsidRPr="004F767D">
        <w:t>While 82% of Council-surveyed artists who applied for the COVID-19 Disaster Payment were successful, only 50% of all Council-surveyed artists applied for the grant. Similarly, almost two-thirds of respondents did not apply for a small business grant (63%).</w:t>
      </w:r>
    </w:p>
    <w:p w14:paraId="015E0604" w14:textId="6628A320" w:rsidR="004F767D" w:rsidRDefault="004F767D" w:rsidP="004F767D">
      <w:pPr>
        <w:pStyle w:val="BodyText"/>
      </w:pPr>
      <w:r w:rsidRPr="004F767D">
        <w:t xml:space="preserve">Findings showed barriers to accessing funding included difficulties in evidencing lost hours or income decline, uncertainty surrounding eligibility, inaccessible language and long application processes. Independent artists pointed to a need for targeted information sessions to help them apply for government support in the future. </w:t>
      </w:r>
    </w:p>
    <w:p w14:paraId="4006F38B" w14:textId="77777777" w:rsidR="00B501C4" w:rsidRPr="004F767D" w:rsidRDefault="00B501C4" w:rsidP="004F767D">
      <w:pPr>
        <w:pStyle w:val="BodyText"/>
      </w:pPr>
    </w:p>
    <w:p w14:paraId="071346A5" w14:textId="77777777" w:rsidR="000400AD" w:rsidRPr="00DB2C99" w:rsidRDefault="000400AD" w:rsidP="00DB2C99">
      <w:pPr>
        <w:pStyle w:val="Heading3"/>
        <w:rPr>
          <w:i/>
          <w:iCs/>
        </w:rPr>
      </w:pPr>
      <w:bookmarkStart w:id="203" w:name="_Toc97107223"/>
      <w:bookmarkStart w:id="204" w:name="_Toc103943221"/>
      <w:r w:rsidRPr="00DB2C99">
        <w:rPr>
          <w:i/>
          <w:iCs/>
        </w:rPr>
        <w:t xml:space="preserve">Difficulties in </w:t>
      </w:r>
      <w:bookmarkEnd w:id="203"/>
      <w:r w:rsidRPr="00DB2C99">
        <w:rPr>
          <w:i/>
          <w:iCs/>
        </w:rPr>
        <w:t>evidencing lost hours</w:t>
      </w:r>
      <w:bookmarkEnd w:id="204"/>
      <w:r w:rsidRPr="00DB2C99">
        <w:rPr>
          <w:i/>
          <w:iCs/>
        </w:rPr>
        <w:t xml:space="preserve"> </w:t>
      </w:r>
    </w:p>
    <w:p w14:paraId="0989E503" w14:textId="77777777" w:rsidR="000400AD" w:rsidRPr="000400AD" w:rsidRDefault="000400AD" w:rsidP="000400AD">
      <w:pPr>
        <w:pStyle w:val="BodyText"/>
      </w:pPr>
      <w:r w:rsidRPr="000400AD">
        <w:t>Responses showed the most common barrier to receiving or applying for the COVID-19 Disaster Payment was being unable to evidence lost hours. One artist who was unsuccessful in receiving the payment explained:</w:t>
      </w:r>
    </w:p>
    <w:p w14:paraId="0A2358FE" w14:textId="77777777" w:rsidR="000400AD" w:rsidRPr="000400AD" w:rsidRDefault="000400AD" w:rsidP="00113E69">
      <w:pPr>
        <w:pStyle w:val="BodyText"/>
        <w:ind w:left="720"/>
      </w:pPr>
      <w:r w:rsidRPr="000400AD">
        <w:t>‘Application rejected since new employer was not recognised. They only compensated for lost hours/income from a current employer but did not recognise if you get income from multiple (one-off gig) sources.’</w:t>
      </w:r>
    </w:p>
    <w:p w14:paraId="3CA336A5" w14:textId="441A36ED" w:rsidR="000400AD" w:rsidRPr="000400AD" w:rsidRDefault="000400AD" w:rsidP="000400AD">
      <w:pPr>
        <w:pStyle w:val="BodyText"/>
      </w:pPr>
      <w:r w:rsidRPr="000400AD">
        <w:t>Around a quarter of respondents did not apply for the COVID-19 Disaster Payment because the period they wanted to claim for was in the future (eg a postponed gig or a cancelled exhibition) (24%) and/or they didn’t meet the requirement of hours lost (22%). One artist shared their difficulties:</w:t>
      </w:r>
    </w:p>
    <w:p w14:paraId="5C742D49" w14:textId="77777777" w:rsidR="000400AD" w:rsidRPr="000400AD" w:rsidRDefault="000400AD" w:rsidP="00672A66">
      <w:pPr>
        <w:pStyle w:val="BodyText"/>
        <w:ind w:left="720"/>
      </w:pPr>
      <w:r w:rsidRPr="000400AD">
        <w:t>‘In my casual job as a Festival Director, I lost significant hours, but they didn't line up to the same weeks in the previous year so I wasn't able to claim.’</w:t>
      </w:r>
    </w:p>
    <w:p w14:paraId="5D3FAC58" w14:textId="384E1EA4" w:rsidR="004F767D" w:rsidRDefault="004F767D" w:rsidP="0046309C">
      <w:pPr>
        <w:pStyle w:val="BodyText"/>
      </w:pPr>
    </w:p>
    <w:p w14:paraId="29AA96A6" w14:textId="77777777" w:rsidR="004D48A9" w:rsidRPr="00DB2C99" w:rsidRDefault="004D48A9" w:rsidP="00DB2C99">
      <w:pPr>
        <w:pStyle w:val="Heading3"/>
        <w:rPr>
          <w:i/>
          <w:iCs/>
        </w:rPr>
      </w:pPr>
      <w:bookmarkStart w:id="205" w:name="_Toc103943222"/>
      <w:r w:rsidRPr="00DB2C99">
        <w:rPr>
          <w:i/>
          <w:iCs/>
        </w:rPr>
        <w:t>Difficulties meeting turnover amounts and showing income decline</w:t>
      </w:r>
      <w:bookmarkEnd w:id="205"/>
      <w:r w:rsidRPr="00DB2C99">
        <w:rPr>
          <w:i/>
          <w:iCs/>
        </w:rPr>
        <w:t xml:space="preserve"> </w:t>
      </w:r>
    </w:p>
    <w:p w14:paraId="106214C8" w14:textId="77777777" w:rsidR="004D48A9" w:rsidRDefault="004D48A9" w:rsidP="004D48A9">
      <w:pPr>
        <w:pStyle w:val="BodyText"/>
      </w:pPr>
      <w:r>
        <w:rPr>
          <w:rFonts w:cs="Arial"/>
        </w:rPr>
        <w:t>As</w:t>
      </w:r>
      <w:r>
        <w:t xml:space="preserve"> artists </w:t>
      </w:r>
      <w:r>
        <w:rPr>
          <w:rFonts w:cs="Arial"/>
        </w:rPr>
        <w:t xml:space="preserve">are </w:t>
      </w:r>
      <w:r w:rsidRPr="00BD080F">
        <w:rPr>
          <w:rFonts w:cs="Arial"/>
        </w:rPr>
        <w:t>commonly freelancers or self-employed</w:t>
      </w:r>
      <w:r>
        <w:rPr>
          <w:rFonts w:cs="Arial"/>
        </w:rPr>
        <w:t>, some</w:t>
      </w:r>
      <w:r>
        <w:t xml:space="preserve"> also had trouble meeting the </w:t>
      </w:r>
      <w:r w:rsidRPr="00B457FF">
        <w:t>required annual turnover/income amount</w:t>
      </w:r>
      <w:r>
        <w:t xml:space="preserve">s or demonstrating decline in turnover/income. </w:t>
      </w:r>
    </w:p>
    <w:p w14:paraId="1DC3F228" w14:textId="77777777" w:rsidR="004D48A9" w:rsidRPr="005405FC" w:rsidRDefault="004D48A9" w:rsidP="004D48A9">
      <w:pPr>
        <w:pStyle w:val="BodyText"/>
      </w:pPr>
      <w:r>
        <w:t xml:space="preserve">In terms of </w:t>
      </w:r>
      <w:r w:rsidRPr="00892BFF">
        <w:t xml:space="preserve">receiving </w:t>
      </w:r>
      <w:r w:rsidRPr="00162957">
        <w:t>small business grants</w:t>
      </w:r>
      <w:r>
        <w:t>, o</w:t>
      </w:r>
      <w:r w:rsidRPr="00162957">
        <w:t>f</w:t>
      </w:r>
      <w:r w:rsidRPr="00892BFF">
        <w:t xml:space="preserve"> the</w:t>
      </w:r>
      <w:r>
        <w:t xml:space="preserve"> 13</w:t>
      </w:r>
      <w:r w:rsidRPr="00892BFF">
        <w:t xml:space="preserve"> respondents who </w:t>
      </w:r>
      <w:r w:rsidRPr="00162957">
        <w:t>weren’t successful</w:t>
      </w:r>
      <w:r w:rsidRPr="00892BFF">
        <w:t xml:space="preserve"> the </w:t>
      </w:r>
      <w:r>
        <w:t xml:space="preserve">three </w:t>
      </w:r>
      <w:r w:rsidRPr="00892BFF">
        <w:t xml:space="preserve">most common reasons </w:t>
      </w:r>
      <w:r>
        <w:t>were</w:t>
      </w:r>
      <w:r w:rsidRPr="00892BFF">
        <w:t xml:space="preserve"> </w:t>
      </w:r>
      <w:r w:rsidRPr="00162957">
        <w:t>not meeting the required annual turnover/income amount</w:t>
      </w:r>
      <w:r>
        <w:t xml:space="preserve">; </w:t>
      </w:r>
      <w:r w:rsidRPr="005405FC">
        <w:t xml:space="preserve">not being able to </w:t>
      </w:r>
      <w:r w:rsidRPr="00162957">
        <w:t>provide support documentation on decline in turnover/income</w:t>
      </w:r>
      <w:r w:rsidRPr="005405FC">
        <w:t xml:space="preserve">; </w:t>
      </w:r>
      <w:r>
        <w:t>and</w:t>
      </w:r>
      <w:r w:rsidRPr="00162957">
        <w:t xml:space="preserve"> </w:t>
      </w:r>
      <w:r w:rsidRPr="005405FC">
        <w:t xml:space="preserve">the </w:t>
      </w:r>
      <w:r w:rsidRPr="00162957">
        <w:t>period they wanted to claim for is in the future</w:t>
      </w:r>
      <w:r w:rsidRPr="005405FC">
        <w:t xml:space="preserve"> (</w:t>
      </w:r>
      <w:r w:rsidRPr="00162957">
        <w:t>eg</w:t>
      </w:r>
      <w:r w:rsidRPr="005405FC">
        <w:t xml:space="preserve"> a postponed gig, a cancelled exhibition). </w:t>
      </w:r>
    </w:p>
    <w:p w14:paraId="012DB689" w14:textId="77777777" w:rsidR="004D48A9" w:rsidRPr="00A27A0D" w:rsidRDefault="004D48A9" w:rsidP="004D48A9">
      <w:pPr>
        <w:pStyle w:val="BodyText"/>
        <w:rPr>
          <w:rFonts w:cs="Arial"/>
        </w:rPr>
      </w:pPr>
      <w:r>
        <w:rPr>
          <w:rFonts w:cs="Arial"/>
        </w:rPr>
        <w:lastRenderedPageBreak/>
        <w:t xml:space="preserve">Almost </w:t>
      </w:r>
      <w:r w:rsidRPr="00A27A0D">
        <w:rPr>
          <w:rFonts w:cs="Arial"/>
        </w:rPr>
        <w:t xml:space="preserve">two-thirds </w:t>
      </w:r>
      <w:r w:rsidRPr="00416FD2">
        <w:rPr>
          <w:rFonts w:cs="Arial"/>
        </w:rPr>
        <w:t>of respondents</w:t>
      </w:r>
      <w:r w:rsidRPr="00A27A0D">
        <w:rPr>
          <w:rFonts w:cs="Arial"/>
        </w:rPr>
        <w:t xml:space="preserve"> did not apply </w:t>
      </w:r>
      <w:r w:rsidRPr="00D70CE3">
        <w:rPr>
          <w:rFonts w:cs="Arial"/>
        </w:rPr>
        <w:t>for a small business grant (63%)</w:t>
      </w:r>
      <w:r>
        <w:rPr>
          <w:rFonts w:cs="Arial"/>
        </w:rPr>
        <w:t>, for similar reasons:</w:t>
      </w:r>
      <w:r w:rsidRPr="00D70CE3">
        <w:rPr>
          <w:rFonts w:cs="Arial"/>
        </w:rPr>
        <w:t xml:space="preserve"> </w:t>
      </w:r>
      <w:r w:rsidRPr="00416FD2">
        <w:rPr>
          <w:rFonts w:cs="Arial"/>
        </w:rPr>
        <w:t>they did not meet the required annual turnover/income amount (37</w:t>
      </w:r>
      <w:r w:rsidRPr="00A27A0D">
        <w:rPr>
          <w:rFonts w:cs="Arial"/>
        </w:rPr>
        <w:t xml:space="preserve">%); </w:t>
      </w:r>
      <w:r w:rsidRPr="00416FD2">
        <w:rPr>
          <w:rFonts w:cs="Arial"/>
        </w:rPr>
        <w:t>the period they wanted to claim for was in the future (26</w:t>
      </w:r>
      <w:r w:rsidRPr="00A27A0D">
        <w:rPr>
          <w:rFonts w:cs="Arial"/>
        </w:rPr>
        <w:t xml:space="preserve">%); </w:t>
      </w:r>
      <w:r>
        <w:rPr>
          <w:rFonts w:cs="Arial"/>
        </w:rPr>
        <w:t>they</w:t>
      </w:r>
      <w:r w:rsidRPr="00416FD2">
        <w:rPr>
          <w:rFonts w:cs="Arial"/>
        </w:rPr>
        <w:t xml:space="preserve"> couldn’t provide support documentation on decline in turnover/income (25%). </w:t>
      </w:r>
    </w:p>
    <w:p w14:paraId="51C05C9E" w14:textId="77777777" w:rsidR="004D48A9" w:rsidRPr="004A3A1D" w:rsidRDefault="004D48A9" w:rsidP="004D48A9">
      <w:pPr>
        <w:pStyle w:val="BodyText"/>
        <w:rPr>
          <w:rFonts w:cs="Arial"/>
        </w:rPr>
      </w:pPr>
      <w:r>
        <w:rPr>
          <w:rFonts w:cs="Arial"/>
        </w:rPr>
        <w:t>Some artists elaborated on the reasons they did not apply for these grants:</w:t>
      </w:r>
    </w:p>
    <w:p w14:paraId="5BADF1BD" w14:textId="77777777" w:rsidR="004D48A9" w:rsidRDefault="004D48A9" w:rsidP="004D48A9">
      <w:pPr>
        <w:pStyle w:val="BodyText"/>
        <w:ind w:left="720"/>
        <w:rPr>
          <w:rFonts w:cs="Arial"/>
        </w:rPr>
      </w:pPr>
      <w:r>
        <w:rPr>
          <w:rFonts w:cs="Arial"/>
        </w:rPr>
        <w:t>‘</w:t>
      </w:r>
      <w:r w:rsidRPr="003D165F">
        <w:rPr>
          <w:rFonts w:cs="Arial"/>
        </w:rPr>
        <w:t>I'm a creative freelancer</w:t>
      </w:r>
      <w:r>
        <w:rPr>
          <w:rFonts w:cs="Arial"/>
        </w:rPr>
        <w:t xml:space="preserve"> </w:t>
      </w:r>
      <w:r w:rsidRPr="003D165F">
        <w:rPr>
          <w:rFonts w:cs="Arial"/>
        </w:rPr>
        <w:t>... it was too hard for me to put together a concrete spreadsheet of my turnover/income, this was very much on me.</w:t>
      </w:r>
      <w:r>
        <w:rPr>
          <w:rFonts w:cs="Arial"/>
        </w:rPr>
        <w:t>’</w:t>
      </w:r>
    </w:p>
    <w:p w14:paraId="3B1FCAE2" w14:textId="77777777" w:rsidR="004D48A9" w:rsidRPr="0053178C" w:rsidRDefault="004D48A9" w:rsidP="004D48A9">
      <w:pPr>
        <w:pStyle w:val="BodyText"/>
        <w:ind w:left="720"/>
        <w:rPr>
          <w:rFonts w:cs="Arial"/>
        </w:rPr>
      </w:pPr>
      <w:r>
        <w:rPr>
          <w:rFonts w:cs="Arial"/>
        </w:rPr>
        <w:t>‘</w:t>
      </w:r>
      <w:r w:rsidRPr="0008519C">
        <w:rPr>
          <w:rFonts w:cs="Arial"/>
        </w:rPr>
        <w:t>I think these grants are intended for people earning a lot more money than me, not for independent artists. It is impossible to prove a decline in income because income is so variable depending on whether I am successful getting a grant or winning a prize and these things don't happen every year.</w:t>
      </w:r>
      <w:r>
        <w:rPr>
          <w:rFonts w:cs="Arial"/>
        </w:rPr>
        <w:t>’</w:t>
      </w:r>
    </w:p>
    <w:p w14:paraId="4DB7172B" w14:textId="77777777" w:rsidR="004D48A9" w:rsidRDefault="004D48A9" w:rsidP="004D48A9">
      <w:pPr>
        <w:pStyle w:val="BodyText"/>
      </w:pPr>
      <w:r w:rsidRPr="00892BFF">
        <w:t>One artist described th</w:t>
      </w:r>
      <w:r>
        <w:t>is</w:t>
      </w:r>
      <w:r w:rsidRPr="00892BFF">
        <w:t xml:space="preserve"> experience as ‘</w:t>
      </w:r>
      <w:r>
        <w:t>very</w:t>
      </w:r>
      <w:r w:rsidRPr="00892BFF">
        <w:t xml:space="preserve"> stressful’ as it was impossible to provide support documentation:</w:t>
      </w:r>
    </w:p>
    <w:p w14:paraId="0400A903" w14:textId="77777777" w:rsidR="004D48A9" w:rsidRPr="00A83F52" w:rsidRDefault="004D48A9" w:rsidP="004D48A9">
      <w:pPr>
        <w:pStyle w:val="BodyText"/>
        <w:ind w:left="720"/>
      </w:pPr>
      <w:r w:rsidRPr="00892BFF">
        <w:t>‘It was very stressful, I also spent hours working on this for my partner who is also an artist. As our incomes show irregular and bulk payments, rather than regular fortnightly income, it was impossible to show a loss of income by comparing fortnightly income between [financial years].’</w:t>
      </w:r>
    </w:p>
    <w:p w14:paraId="27FA519F" w14:textId="1101D631" w:rsidR="004D48A9" w:rsidRDefault="004D48A9" w:rsidP="0046309C">
      <w:pPr>
        <w:pStyle w:val="BodyText"/>
      </w:pPr>
    </w:p>
    <w:p w14:paraId="6592A4A2" w14:textId="77777777" w:rsidR="003579FE" w:rsidRPr="00DB2C99" w:rsidRDefault="003579FE" w:rsidP="00DB2C99">
      <w:pPr>
        <w:pStyle w:val="Heading3"/>
        <w:rPr>
          <w:rFonts w:eastAsiaTheme="minorEastAsia"/>
        </w:rPr>
      </w:pPr>
      <w:bookmarkStart w:id="206" w:name="_Toc97107231"/>
      <w:bookmarkStart w:id="207" w:name="_Toc97273412"/>
      <w:bookmarkStart w:id="208" w:name="_Toc97279988"/>
      <w:bookmarkStart w:id="209" w:name="_Toc97280167"/>
      <w:bookmarkStart w:id="210" w:name="_Toc97565267"/>
      <w:bookmarkStart w:id="211" w:name="_Toc103346879"/>
      <w:bookmarkStart w:id="212" w:name="_Toc103771393"/>
      <w:bookmarkStart w:id="213" w:name="_Toc103931842"/>
      <w:bookmarkStart w:id="214" w:name="_Toc103943223"/>
      <w:r w:rsidRPr="00DB2C99">
        <w:rPr>
          <w:rFonts w:eastAsiaTheme="minorEastAsia"/>
        </w:rPr>
        <w:t>Contemplation of giving up artistic practice</w:t>
      </w:r>
      <w:bookmarkEnd w:id="206"/>
      <w:bookmarkEnd w:id="207"/>
      <w:bookmarkEnd w:id="208"/>
      <w:bookmarkEnd w:id="209"/>
      <w:bookmarkEnd w:id="210"/>
      <w:bookmarkEnd w:id="211"/>
      <w:bookmarkEnd w:id="212"/>
      <w:bookmarkEnd w:id="213"/>
      <w:bookmarkEnd w:id="214"/>
    </w:p>
    <w:p w14:paraId="45C2BA3D" w14:textId="1A2D3089" w:rsidR="003579FE" w:rsidRPr="003579FE" w:rsidRDefault="003579FE" w:rsidP="003579FE">
      <w:pPr>
        <w:pStyle w:val="BodyText"/>
        <w:rPr>
          <w:bCs/>
        </w:rPr>
      </w:pPr>
      <w:r w:rsidRPr="003579FE">
        <w:rPr>
          <w:bCs/>
        </w:rPr>
        <w:t>The many impacts of COVID-19 restrictions took a toll on Australia’s artists and saw some consider giving up their practice.</w:t>
      </w:r>
      <w:r w:rsidR="0043398B">
        <w:rPr>
          <w:rFonts w:ascii="ZWAdobeF" w:hAnsi="ZWAdobeF" w:cs="ZWAdobeF"/>
          <w:bCs/>
          <w:sz w:val="2"/>
          <w:szCs w:val="2"/>
        </w:rPr>
        <w:t>114F</w:t>
      </w:r>
      <w:r w:rsidRPr="003579FE">
        <w:rPr>
          <w:bCs/>
          <w:vertAlign w:val="superscript"/>
        </w:rPr>
        <w:footnoteReference w:id="116"/>
      </w:r>
    </w:p>
    <w:p w14:paraId="5A6F8967" w14:textId="52ABB7E8" w:rsidR="003579FE" w:rsidRPr="003579FE" w:rsidRDefault="003579FE" w:rsidP="003579FE">
      <w:pPr>
        <w:pStyle w:val="BodyText"/>
      </w:pPr>
      <w:r w:rsidRPr="003579FE">
        <w:rPr>
          <w:bCs/>
        </w:rPr>
        <w:t>A qualitative study conducted in 2020 highlighted some of</w:t>
      </w:r>
      <w:r w:rsidRPr="003579FE">
        <w:rPr>
          <w:b/>
        </w:rPr>
        <w:t xml:space="preserve"> </w:t>
      </w:r>
      <w:r w:rsidRPr="003579FE">
        <w:t>the impacts of the restrictions on creative arts workers’ emotional and mental health in Victoria. Their findings showed how the pandemic made artists’ work even more precarious; how online performances and connections were not always adequate; and ultimately, how many artists were seriously considering giving up their careers in the arts.</w:t>
      </w:r>
      <w:r w:rsidR="0043398B">
        <w:rPr>
          <w:rFonts w:ascii="ZWAdobeF" w:hAnsi="ZWAdobeF" w:cs="ZWAdobeF"/>
          <w:sz w:val="2"/>
          <w:szCs w:val="2"/>
        </w:rPr>
        <w:t>115F</w:t>
      </w:r>
      <w:r w:rsidRPr="003579FE">
        <w:rPr>
          <w:vertAlign w:val="superscript"/>
        </w:rPr>
        <w:footnoteReference w:id="117"/>
      </w:r>
      <w:r w:rsidRPr="003579FE">
        <w:t xml:space="preserve"> </w:t>
      </w:r>
    </w:p>
    <w:p w14:paraId="03F72D0E" w14:textId="20BB2BB4" w:rsidR="003579FE" w:rsidRPr="003579FE" w:rsidRDefault="003579FE" w:rsidP="003579FE">
      <w:pPr>
        <w:pStyle w:val="BodyText"/>
      </w:pPr>
      <w:r w:rsidRPr="003579FE">
        <w:t>Another report published in 2021 explored the challenges faced by the performing arts sector in Western Australia during the lockdowns.</w:t>
      </w:r>
      <w:r w:rsidR="0043398B">
        <w:rPr>
          <w:rFonts w:ascii="ZWAdobeF" w:hAnsi="ZWAdobeF" w:cs="ZWAdobeF"/>
          <w:sz w:val="2"/>
          <w:szCs w:val="2"/>
        </w:rPr>
        <w:t>116F</w:t>
      </w:r>
      <w:r w:rsidRPr="003579FE">
        <w:rPr>
          <w:vertAlign w:val="superscript"/>
        </w:rPr>
        <w:footnoteReference w:id="118"/>
      </w:r>
      <w:r w:rsidRPr="003579FE">
        <w:t xml:space="preserve"> The report found that the disruption to performances during lockdown led performers to re-evaluate their artistic practice, whether through having a break or reassessing their career paths. </w:t>
      </w:r>
    </w:p>
    <w:p w14:paraId="3C88367F" w14:textId="08AF1F89" w:rsidR="003579FE" w:rsidRPr="003579FE" w:rsidRDefault="003579FE" w:rsidP="003579FE">
      <w:pPr>
        <w:pStyle w:val="BodyText"/>
      </w:pPr>
      <w:r w:rsidRPr="003579FE">
        <w:t xml:space="preserve">The next iteration of the Economic Study of Professional Artists in Australia, scheduled for publication in 2023, will provide more information on the impacts of the pandemic on artists’ lives and working conditions. </w:t>
      </w:r>
    </w:p>
    <w:p w14:paraId="0E82E022" w14:textId="2B08FA74" w:rsidR="00FF645A" w:rsidRDefault="00FF645A" w:rsidP="0046309C">
      <w:pPr>
        <w:pStyle w:val="BodyText"/>
      </w:pPr>
    </w:p>
    <w:p w14:paraId="5D5E239A" w14:textId="77777777" w:rsidR="0071089A" w:rsidRPr="00DB2C99" w:rsidRDefault="0071089A" w:rsidP="00DB2C99">
      <w:pPr>
        <w:pStyle w:val="Heading3"/>
      </w:pPr>
      <w:bookmarkStart w:id="215" w:name="_Toc97107232"/>
      <w:bookmarkStart w:id="216" w:name="_Toc97273413"/>
      <w:bookmarkStart w:id="217" w:name="_Toc97279989"/>
      <w:bookmarkStart w:id="218" w:name="_Toc97280168"/>
      <w:bookmarkStart w:id="219" w:name="_Toc97565268"/>
      <w:bookmarkStart w:id="220" w:name="_Toc103346880"/>
      <w:bookmarkStart w:id="221" w:name="_Toc103771394"/>
      <w:bookmarkStart w:id="222" w:name="_Toc103931843"/>
      <w:bookmarkStart w:id="223" w:name="_Toc103943224"/>
      <w:r w:rsidRPr="00DB2C99">
        <w:t>Decline in mental health</w:t>
      </w:r>
      <w:bookmarkEnd w:id="215"/>
      <w:bookmarkEnd w:id="216"/>
      <w:bookmarkEnd w:id="217"/>
      <w:bookmarkEnd w:id="218"/>
      <w:bookmarkEnd w:id="219"/>
      <w:bookmarkEnd w:id="220"/>
      <w:bookmarkEnd w:id="221"/>
      <w:bookmarkEnd w:id="222"/>
      <w:bookmarkEnd w:id="223"/>
    </w:p>
    <w:p w14:paraId="6471A021" w14:textId="00E24C75" w:rsidR="00773CE2" w:rsidRDefault="00773CE2" w:rsidP="00773CE2">
      <w:pPr>
        <w:pStyle w:val="BodyText"/>
        <w:spacing w:before="170" w:after="170"/>
        <w:rPr>
          <w:rFonts w:eastAsiaTheme="minorEastAsia"/>
        </w:rPr>
      </w:pPr>
      <w:r>
        <w:rPr>
          <w:rFonts w:eastAsiaTheme="minorEastAsia"/>
        </w:rPr>
        <w:t xml:space="preserve">The COVID-19 pandemic has undoubtedly placed financial pressure on </w:t>
      </w:r>
      <w:r w:rsidR="00EB6C0E">
        <w:rPr>
          <w:rFonts w:eastAsiaTheme="minorEastAsia"/>
        </w:rPr>
        <w:t xml:space="preserve">many of </w:t>
      </w:r>
      <w:r>
        <w:rPr>
          <w:rFonts w:eastAsiaTheme="minorEastAsia"/>
        </w:rPr>
        <w:t xml:space="preserve">Australia’s independent artists, affecting their emotional psyche. Many </w:t>
      </w:r>
      <w:r w:rsidRPr="00642CBC">
        <w:t xml:space="preserve">artists </w:t>
      </w:r>
      <w:r>
        <w:t>have reported</w:t>
      </w:r>
      <w:r w:rsidRPr="00642CBC">
        <w:t xml:space="preserve"> that their mental health has suffered or became exacerbated </w:t>
      </w:r>
      <w:r>
        <w:t>since the pandemic began</w:t>
      </w:r>
      <w:r>
        <w:rPr>
          <w:rFonts w:eastAsiaTheme="minorEastAsia"/>
        </w:rPr>
        <w:t>.</w:t>
      </w:r>
    </w:p>
    <w:p w14:paraId="74D07EE7" w14:textId="4159830A" w:rsidR="00600607" w:rsidRDefault="00600607" w:rsidP="00773CE2">
      <w:pPr>
        <w:pStyle w:val="BodyText"/>
        <w:spacing w:before="170" w:after="170"/>
        <w:rPr>
          <w:rFonts w:eastAsiaTheme="minorEastAsia"/>
        </w:rPr>
      </w:pPr>
      <w:r>
        <w:rPr>
          <w:rFonts w:eastAsiaTheme="minorEastAsia"/>
        </w:rPr>
        <w:lastRenderedPageBreak/>
        <w:t xml:space="preserve">Research is just beginning to uncover the mental health impacts of the pandemic </w:t>
      </w:r>
      <w:r w:rsidR="0084473C">
        <w:rPr>
          <w:rFonts w:eastAsiaTheme="minorEastAsia"/>
        </w:rPr>
        <w:t xml:space="preserve">on </w:t>
      </w:r>
      <w:r>
        <w:rPr>
          <w:rFonts w:eastAsiaTheme="minorEastAsia"/>
        </w:rPr>
        <w:t>artists</w:t>
      </w:r>
      <w:r w:rsidR="0084473C">
        <w:rPr>
          <w:rFonts w:eastAsiaTheme="minorEastAsia"/>
        </w:rPr>
        <w:t>.</w:t>
      </w:r>
    </w:p>
    <w:p w14:paraId="2A6759CB" w14:textId="579EBE19" w:rsidR="00B7108A" w:rsidRPr="00B7108A" w:rsidRDefault="0084473C" w:rsidP="00B7108A">
      <w:pPr>
        <w:pStyle w:val="BodyText"/>
        <w:spacing w:before="170" w:after="170"/>
        <w:rPr>
          <w:rFonts w:eastAsiaTheme="minorEastAsia"/>
        </w:rPr>
      </w:pPr>
      <w:r>
        <w:rPr>
          <w:rFonts w:eastAsiaTheme="minorEastAsia"/>
        </w:rPr>
        <w:t>Information to date shows that</w:t>
      </w:r>
      <w:r w:rsidR="00B7108A" w:rsidRPr="00B7108A">
        <w:rPr>
          <w:rFonts w:ascii="Arial" w:eastAsiaTheme="minorEastAsia" w:hAnsi="Arial"/>
          <w:bCs/>
          <w:color w:val="000000" w:themeColor="text1"/>
          <w:sz w:val="24"/>
        </w:rPr>
        <w:t xml:space="preserve"> </w:t>
      </w:r>
      <w:r w:rsidR="00B7108A" w:rsidRPr="00B7108A">
        <w:rPr>
          <w:rFonts w:eastAsiaTheme="minorEastAsia"/>
          <w:bCs/>
        </w:rPr>
        <w:t>loss of income and radical changes to normal life have gravely affected the mental health of many working in the arts.</w:t>
      </w:r>
      <w:r w:rsidR="0043398B">
        <w:rPr>
          <w:rFonts w:ascii="ZWAdobeF" w:eastAsiaTheme="minorEastAsia" w:hAnsi="ZWAdobeF" w:cs="ZWAdobeF"/>
          <w:bCs/>
          <w:sz w:val="2"/>
          <w:szCs w:val="2"/>
        </w:rPr>
        <w:t>117F</w:t>
      </w:r>
      <w:r w:rsidR="00B7108A" w:rsidRPr="00B7108A">
        <w:rPr>
          <w:rFonts w:eastAsiaTheme="minorEastAsia"/>
          <w:bCs/>
          <w:vertAlign w:val="superscript"/>
        </w:rPr>
        <w:footnoteReference w:id="119"/>
      </w:r>
      <w:r w:rsidR="00B7108A" w:rsidRPr="00B7108A">
        <w:rPr>
          <w:rFonts w:eastAsiaTheme="minorEastAsia"/>
          <w:bCs/>
        </w:rPr>
        <w:t xml:space="preserve"> </w:t>
      </w:r>
      <w:r w:rsidR="00B7108A" w:rsidRPr="00B7108A">
        <w:rPr>
          <w:rFonts w:eastAsiaTheme="minorEastAsia"/>
        </w:rPr>
        <w:t>64% of artists reported feeling their mental health worsened during the pandemic.</w:t>
      </w:r>
      <w:r w:rsidR="0043398B">
        <w:rPr>
          <w:rFonts w:ascii="ZWAdobeF" w:eastAsiaTheme="minorEastAsia" w:hAnsi="ZWAdobeF" w:cs="ZWAdobeF"/>
          <w:sz w:val="2"/>
          <w:szCs w:val="2"/>
        </w:rPr>
        <w:t>118F</w:t>
      </w:r>
      <w:r w:rsidR="00B7108A" w:rsidRPr="00B7108A">
        <w:rPr>
          <w:rFonts w:eastAsiaTheme="minorEastAsia"/>
          <w:vertAlign w:val="superscript"/>
        </w:rPr>
        <w:footnoteReference w:id="120"/>
      </w:r>
      <w:r w:rsidR="00B7108A" w:rsidRPr="00B7108A">
        <w:rPr>
          <w:rFonts w:eastAsiaTheme="minorEastAsia"/>
        </w:rPr>
        <w:t xml:space="preserve"> </w:t>
      </w:r>
    </w:p>
    <w:p w14:paraId="59EC91F8" w14:textId="7FEFA37D" w:rsidR="00B7108A" w:rsidRPr="00B7108A" w:rsidRDefault="00B7108A" w:rsidP="00B7108A">
      <w:pPr>
        <w:pStyle w:val="BodyText"/>
        <w:rPr>
          <w:rFonts w:eastAsiaTheme="minorEastAsia"/>
        </w:rPr>
      </w:pPr>
      <w:r w:rsidRPr="00B7108A">
        <w:rPr>
          <w:rFonts w:eastAsiaTheme="minorEastAsia"/>
        </w:rPr>
        <w:t>Nine in ten (92%) performing artists experienced significant changes to their work during early stages of the pandemic – and at least half experienced depression. In line with these findings, almost half accessed mental health supports, such as psychologists and GPs (48%).</w:t>
      </w:r>
      <w:r w:rsidR="0043398B">
        <w:rPr>
          <w:rFonts w:ascii="ZWAdobeF" w:eastAsiaTheme="minorEastAsia" w:hAnsi="ZWAdobeF" w:cs="ZWAdobeF"/>
          <w:sz w:val="2"/>
          <w:szCs w:val="2"/>
        </w:rPr>
        <w:t>119F</w:t>
      </w:r>
      <w:r w:rsidRPr="00B7108A">
        <w:rPr>
          <w:rFonts w:eastAsiaTheme="minorEastAsia"/>
          <w:vertAlign w:val="superscript"/>
        </w:rPr>
        <w:footnoteReference w:id="121"/>
      </w:r>
    </w:p>
    <w:p w14:paraId="63A8AD09" w14:textId="2627CB94" w:rsidR="00B7108A" w:rsidRDefault="00B7108A" w:rsidP="00B7108A">
      <w:pPr>
        <w:pStyle w:val="BodyText"/>
        <w:rPr>
          <w:rFonts w:eastAsiaTheme="minorEastAsia"/>
        </w:rPr>
      </w:pPr>
      <w:r w:rsidRPr="00B7108A">
        <w:rPr>
          <w:rFonts w:eastAsiaTheme="minorEastAsia"/>
        </w:rPr>
        <w:t>The most affected were early career artists, freelancers, and women, many of whom were excluded from government support such as JobKeeper.</w:t>
      </w:r>
      <w:r w:rsidR="0043398B">
        <w:rPr>
          <w:rFonts w:ascii="ZWAdobeF" w:eastAsiaTheme="minorEastAsia" w:hAnsi="ZWAdobeF" w:cs="ZWAdobeF"/>
          <w:sz w:val="2"/>
          <w:szCs w:val="2"/>
        </w:rPr>
        <w:t>120F</w:t>
      </w:r>
      <w:r w:rsidRPr="00B7108A">
        <w:rPr>
          <w:rFonts w:eastAsiaTheme="minorEastAsia"/>
          <w:vertAlign w:val="superscript"/>
        </w:rPr>
        <w:footnoteReference w:id="122"/>
      </w:r>
      <w:r w:rsidRPr="00B7108A">
        <w:rPr>
          <w:rFonts w:eastAsiaTheme="minorEastAsia"/>
        </w:rPr>
        <w:t xml:space="preserve"> Women not only faced the difficulties of COVID-19 and related lockdowns, but also disproportionately faced the challenge of increased care responsibilities for elderly parents and children, and the distractions of working from home during lockdown.</w:t>
      </w:r>
      <w:r w:rsidR="0043398B">
        <w:rPr>
          <w:rFonts w:ascii="ZWAdobeF" w:eastAsiaTheme="minorEastAsia" w:hAnsi="ZWAdobeF" w:cs="ZWAdobeF"/>
          <w:sz w:val="2"/>
          <w:szCs w:val="2"/>
        </w:rPr>
        <w:t>121F</w:t>
      </w:r>
      <w:r w:rsidRPr="00B7108A">
        <w:rPr>
          <w:rFonts w:eastAsiaTheme="minorEastAsia"/>
          <w:vertAlign w:val="superscript"/>
        </w:rPr>
        <w:footnoteReference w:id="123"/>
      </w:r>
    </w:p>
    <w:p w14:paraId="7DE515A2" w14:textId="77777777" w:rsidR="00AC45DA" w:rsidRPr="00B7108A" w:rsidRDefault="00AC45DA" w:rsidP="00B7108A">
      <w:pPr>
        <w:pStyle w:val="BodyText"/>
        <w:rPr>
          <w:rFonts w:eastAsiaTheme="minorEastAsia"/>
        </w:rPr>
      </w:pPr>
    </w:p>
    <w:p w14:paraId="05288597" w14:textId="77777777" w:rsidR="00AC45DA" w:rsidRPr="00DB2C99" w:rsidRDefault="00AC45DA" w:rsidP="00DB2C99">
      <w:pPr>
        <w:pStyle w:val="Heading3"/>
      </w:pPr>
      <w:bookmarkStart w:id="224" w:name="_Toc103346881"/>
      <w:bookmarkStart w:id="225" w:name="_Toc103771395"/>
      <w:bookmarkStart w:id="226" w:name="_Toc103931844"/>
      <w:bookmarkStart w:id="227" w:name="_Toc103943225"/>
      <w:r w:rsidRPr="00DB2C99">
        <w:t>Mental health impacts on First Nations and CALD artists</w:t>
      </w:r>
      <w:bookmarkEnd w:id="224"/>
      <w:bookmarkEnd w:id="225"/>
      <w:bookmarkEnd w:id="226"/>
      <w:bookmarkEnd w:id="227"/>
    </w:p>
    <w:p w14:paraId="2145FD7A" w14:textId="77777777" w:rsidR="00904869" w:rsidRPr="00904869" w:rsidRDefault="00904869" w:rsidP="00904869">
      <w:pPr>
        <w:pStyle w:val="BodyText"/>
      </w:pPr>
      <w:r w:rsidRPr="00904869">
        <w:t xml:space="preserve">Artists from diverse backgrounds, including First Nations and culturally and linguistically diverse (CALD) artists, have experienced high rates of income loss and increased levels of negative mental health impacts.  </w:t>
      </w:r>
    </w:p>
    <w:p w14:paraId="1519EBFE" w14:textId="71FFBCC4" w:rsidR="00904869" w:rsidRPr="00904869" w:rsidRDefault="00904869" w:rsidP="00904869">
      <w:pPr>
        <w:pStyle w:val="BodyText"/>
      </w:pPr>
      <w:r w:rsidRPr="00904869">
        <w:t>In June 2020, a First Nations performing arts wellbeing survey found First Nations artists were profoundly concerned about the social and cultural impacts of COVID-19 on their lives, especially on gathering to practice culture (78%) and caring for elders (72%).</w:t>
      </w:r>
      <w:r w:rsidR="0043398B">
        <w:rPr>
          <w:rFonts w:ascii="ZWAdobeF" w:hAnsi="ZWAdobeF" w:cs="ZWAdobeF"/>
          <w:sz w:val="2"/>
          <w:szCs w:val="2"/>
        </w:rPr>
        <w:t>122F</w:t>
      </w:r>
      <w:r w:rsidRPr="00904869">
        <w:rPr>
          <w:rFonts w:eastAsiaTheme="minorEastAsia"/>
          <w:vertAlign w:val="superscript"/>
        </w:rPr>
        <w:footnoteReference w:id="124"/>
      </w:r>
      <w:r w:rsidRPr="00904869">
        <w:rPr>
          <w:rFonts w:eastAsiaTheme="minorEastAsia"/>
          <w:vertAlign w:val="superscript"/>
        </w:rPr>
        <w:t xml:space="preserve"> </w:t>
      </w:r>
      <w:r w:rsidRPr="00904869">
        <w:t>They were also concerned about their wellbeing and mental health, with many experiencing depression, anxiety, isolation, and stress.</w:t>
      </w:r>
      <w:r w:rsidR="0043398B">
        <w:rPr>
          <w:rFonts w:ascii="ZWAdobeF" w:hAnsi="ZWAdobeF" w:cs="ZWAdobeF"/>
          <w:sz w:val="2"/>
          <w:szCs w:val="2"/>
        </w:rPr>
        <w:t>123F</w:t>
      </w:r>
      <w:r w:rsidRPr="00904869">
        <w:rPr>
          <w:rFonts w:eastAsiaTheme="minorEastAsia"/>
          <w:vertAlign w:val="superscript"/>
        </w:rPr>
        <w:footnoteReference w:id="125"/>
      </w:r>
    </w:p>
    <w:p w14:paraId="1E7F2B5E" w14:textId="7AF9A6FB" w:rsidR="00904869" w:rsidRPr="00904869" w:rsidRDefault="00904869" w:rsidP="00904869">
      <w:pPr>
        <w:pStyle w:val="BodyText"/>
      </w:pPr>
      <w:r w:rsidRPr="00904869">
        <w:t>A Diversity Arts Australia survey conducted in March 2021 showed First Nations and CALD creatives experienced heightened financial, mental and physical health strain due to increased racism, border closures and lost paid work from concurrent lockdowns.</w:t>
      </w:r>
      <w:r w:rsidR="0043398B">
        <w:rPr>
          <w:rFonts w:ascii="ZWAdobeF" w:hAnsi="ZWAdobeF" w:cs="ZWAdobeF"/>
          <w:sz w:val="2"/>
          <w:szCs w:val="2"/>
        </w:rPr>
        <w:t>124F</w:t>
      </w:r>
      <w:r w:rsidRPr="00904869">
        <w:rPr>
          <w:rFonts w:eastAsiaTheme="minorEastAsia"/>
          <w:vertAlign w:val="superscript"/>
        </w:rPr>
        <w:footnoteReference w:id="126"/>
      </w:r>
      <w:r w:rsidRPr="00904869">
        <w:rPr>
          <w:rFonts w:eastAsiaTheme="minorEastAsia"/>
          <w:vertAlign w:val="superscript"/>
        </w:rPr>
        <w:t xml:space="preserve"> </w:t>
      </w:r>
    </w:p>
    <w:p w14:paraId="0FAF828D" w14:textId="5687EE15" w:rsidR="00904869" w:rsidRPr="00904869" w:rsidRDefault="00904869" w:rsidP="00904869">
      <w:pPr>
        <w:pStyle w:val="BodyText"/>
      </w:pPr>
      <w:r w:rsidRPr="00904869">
        <w:t>Overall, most respondents said they have lost income due to the pandemic (79%), with First Nations respondents indicating higher rates of lost income (85%) than non-First Nations artists. Around half of respondents indicated that they had experienced problems paying their rent or mortgage, their bills and medical care. In addition, half of respondents reported they had experienced racism prior to the pandemic (53%) and most believe it has become worse in the COVID-19 context (72%).</w:t>
      </w:r>
      <w:r w:rsidR="0043398B">
        <w:rPr>
          <w:rFonts w:ascii="ZWAdobeF" w:hAnsi="ZWAdobeF" w:cs="ZWAdobeF"/>
          <w:sz w:val="2"/>
          <w:szCs w:val="2"/>
        </w:rPr>
        <w:t>125F</w:t>
      </w:r>
      <w:r w:rsidRPr="00904869">
        <w:rPr>
          <w:rFonts w:eastAsiaTheme="minorEastAsia"/>
          <w:vertAlign w:val="superscript"/>
        </w:rPr>
        <w:footnoteReference w:id="127"/>
      </w:r>
    </w:p>
    <w:p w14:paraId="5B30270C" w14:textId="77777777" w:rsidR="00904869" w:rsidRPr="00904869" w:rsidRDefault="00904869" w:rsidP="00904869">
      <w:pPr>
        <w:pStyle w:val="BodyText"/>
      </w:pPr>
      <w:r w:rsidRPr="00904869">
        <w:t>The Australia Council will soon publish an updated dedicated paper on the impacts of COVID-19 on First Nations arts and culture.</w:t>
      </w:r>
    </w:p>
    <w:p w14:paraId="477B9B8F" w14:textId="248E997F" w:rsidR="0084473C" w:rsidRDefault="0084473C" w:rsidP="00773CE2">
      <w:pPr>
        <w:pStyle w:val="BodyText"/>
        <w:spacing w:before="170" w:after="170"/>
        <w:rPr>
          <w:rFonts w:eastAsiaTheme="minorEastAsia"/>
        </w:rPr>
      </w:pPr>
    </w:p>
    <w:p w14:paraId="4E32DEE1" w14:textId="77777777" w:rsidR="009A76B9" w:rsidRPr="00DB2C99" w:rsidRDefault="009A76B9" w:rsidP="00DB2C99">
      <w:pPr>
        <w:pStyle w:val="Heading3"/>
        <w:rPr>
          <w:rFonts w:eastAsiaTheme="minorEastAsia"/>
        </w:rPr>
      </w:pPr>
      <w:bookmarkStart w:id="228" w:name="_Toc103346882"/>
      <w:bookmarkStart w:id="229" w:name="_Toc103771396"/>
      <w:bookmarkStart w:id="230" w:name="_Toc103931845"/>
      <w:bookmarkStart w:id="231" w:name="_Toc103943226"/>
      <w:r w:rsidRPr="00DB2C99">
        <w:lastRenderedPageBreak/>
        <w:t>Enduring</w:t>
      </w:r>
      <w:r w:rsidRPr="00DB2C99">
        <w:rPr>
          <w:rFonts w:eastAsiaTheme="minorEastAsia"/>
        </w:rPr>
        <w:t xml:space="preserve"> vulnerability</w:t>
      </w:r>
      <w:r w:rsidRPr="00DB2C99">
        <w:t xml:space="preserve"> of artists</w:t>
      </w:r>
      <w:bookmarkEnd w:id="228"/>
      <w:bookmarkEnd w:id="229"/>
      <w:bookmarkEnd w:id="230"/>
      <w:bookmarkEnd w:id="231"/>
      <w:r w:rsidRPr="00DB2C99">
        <w:t xml:space="preserve"> </w:t>
      </w:r>
    </w:p>
    <w:p w14:paraId="0779CD59" w14:textId="77777777" w:rsidR="00090ADA" w:rsidRDefault="00090ADA" w:rsidP="00090ADA">
      <w:pPr>
        <w:pStyle w:val="BodyText"/>
      </w:pPr>
      <w:r>
        <w:t xml:space="preserve">The impacts of the pandemic have been felt deeply by independent artists and they remain vulnerable to potential future disruptions. With many artists experiencing severe loss of income, decline in mental health and some stopping production of works or contemplating giving up their practice altogether, our artists are in a weakened state. </w:t>
      </w:r>
    </w:p>
    <w:p w14:paraId="66C77F36" w14:textId="2B65DB60" w:rsidR="00090ADA" w:rsidRDefault="00090ADA" w:rsidP="00090ADA">
      <w:pPr>
        <w:pStyle w:val="BodyText"/>
      </w:pPr>
      <w:r>
        <w:t xml:space="preserve">The next iteration of the </w:t>
      </w:r>
      <w:r w:rsidRPr="00F756AE">
        <w:t>Economic Study of Professional Artists in Australia</w:t>
      </w:r>
      <w:r>
        <w:t xml:space="preserve">, slated for release in 2023, will tell us more about how we may support our artists as we continue to deal with the impacts of the pandemic.   </w:t>
      </w:r>
    </w:p>
    <w:p w14:paraId="7D9DCF02" w14:textId="2A1B7777" w:rsidR="00A77DA6" w:rsidRDefault="00A77DA6" w:rsidP="00090ADA">
      <w:pPr>
        <w:pStyle w:val="BodyText"/>
      </w:pPr>
    </w:p>
    <w:p w14:paraId="09B5CBF4" w14:textId="77777777" w:rsidR="001561DB" w:rsidRDefault="001561DB">
      <w:pPr>
        <w:spacing w:before="80" w:after="80"/>
        <w:rPr>
          <w:rFonts w:asciiTheme="majorHAnsi" w:eastAsia="Times New Roman" w:hAnsiTheme="majorHAnsi" w:cs="Arial"/>
          <w:b/>
          <w:bCs/>
          <w:color w:val="660066" w:themeColor="accent3"/>
          <w:kern w:val="32"/>
          <w:sz w:val="30"/>
          <w:szCs w:val="42"/>
          <w:lang w:eastAsia="en-AU"/>
        </w:rPr>
      </w:pPr>
      <w:bookmarkStart w:id="232" w:name="_Toc103943227"/>
      <w:r>
        <w:br w:type="page"/>
      </w:r>
    </w:p>
    <w:bookmarkEnd w:id="232"/>
    <w:p w14:paraId="0DA3564F" w14:textId="77777777" w:rsidR="009A76B9" w:rsidRPr="002817DB" w:rsidRDefault="009A76B9" w:rsidP="00773CE2">
      <w:pPr>
        <w:pStyle w:val="BodyText"/>
        <w:spacing w:before="170" w:after="170"/>
        <w:rPr>
          <w:rFonts w:eastAsiaTheme="minorEastAsia"/>
        </w:rPr>
      </w:pPr>
    </w:p>
    <w:p w14:paraId="7912B534" w14:textId="0AF779FD" w:rsidR="00300F3E" w:rsidRDefault="00300F3E" w:rsidP="00300F3E">
      <w:pPr>
        <w:spacing w:before="170" w:after="170"/>
      </w:pPr>
    </w:p>
    <w:p w14:paraId="31B79827" w14:textId="0438F6F0" w:rsidR="00664C11" w:rsidRPr="00FB1C3E" w:rsidRDefault="00664C11" w:rsidP="00664C11">
      <w:pPr>
        <w:spacing w:before="170" w:after="170"/>
        <w:rPr>
          <w:bCs/>
        </w:rPr>
      </w:pPr>
    </w:p>
    <w:p w14:paraId="06FEF929" w14:textId="5D6D428B" w:rsidR="00DF7628" w:rsidRDefault="00DF7628" w:rsidP="00DF7628">
      <w:pPr>
        <w:spacing w:before="170" w:after="170"/>
        <w:rPr>
          <w:bCs/>
        </w:rPr>
      </w:pPr>
    </w:p>
    <w:p w14:paraId="008D219E" w14:textId="795A7ED0" w:rsidR="00D234D2" w:rsidRDefault="00D234D2" w:rsidP="00D234D2">
      <w:pPr>
        <w:pStyle w:val="BodyText"/>
      </w:pPr>
    </w:p>
    <w:p w14:paraId="57C3CFD7" w14:textId="77777777" w:rsidR="00493A91" w:rsidRPr="0046309C" w:rsidRDefault="00493A91" w:rsidP="0046309C">
      <w:pPr>
        <w:pStyle w:val="BodyText"/>
      </w:pPr>
    </w:p>
    <w:p w14:paraId="3A94A01D" w14:textId="77777777" w:rsidR="00A1259D" w:rsidRPr="00B65436" w:rsidRDefault="00A1259D" w:rsidP="007856BE">
      <w:pPr>
        <w:pStyle w:val="BodyText"/>
      </w:pPr>
    </w:p>
    <w:p w14:paraId="04854799" w14:textId="77777777" w:rsidR="00266112" w:rsidRPr="00FD4244" w:rsidRDefault="00266112" w:rsidP="00FD4244">
      <w:pPr>
        <w:pStyle w:val="BodyText"/>
      </w:pPr>
    </w:p>
    <w:sectPr w:rsidR="00266112" w:rsidRPr="00FD4244" w:rsidSect="00732F33">
      <w:type w:val="continuous"/>
      <w:pgSz w:w="11906" w:h="16838" w:code="9"/>
      <w:pgMar w:top="2495" w:right="794" w:bottom="1134" w:left="794" w:header="1191" w:footer="624"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D9C84" w14:textId="77777777" w:rsidR="00074335" w:rsidRDefault="00074335" w:rsidP="00185154">
      <w:r>
        <w:separator/>
      </w:r>
    </w:p>
    <w:p w14:paraId="671A6551" w14:textId="77777777" w:rsidR="00074335" w:rsidRDefault="00074335"/>
  </w:endnote>
  <w:endnote w:type="continuationSeparator" w:id="0">
    <w:p w14:paraId="78C041CC" w14:textId="77777777" w:rsidR="00074335" w:rsidRDefault="00074335" w:rsidP="00185154">
      <w:r>
        <w:continuationSeparator/>
      </w:r>
    </w:p>
    <w:p w14:paraId="02A92221" w14:textId="77777777" w:rsidR="00074335" w:rsidRDefault="00074335"/>
  </w:endnote>
  <w:endnote w:type="continuationNotice" w:id="1">
    <w:p w14:paraId="60E2D5CD" w14:textId="77777777" w:rsidR="00074335" w:rsidRDefault="000743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ZWAdobeF">
    <w:panose1 w:val="00000000000000000000"/>
    <w:charset w:val="00"/>
    <w:family w:val="auto"/>
    <w:pitch w:val="variable"/>
    <w:sig w:usb0="20002A87" w:usb1="00000000" w:usb2="00000000"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Look w:val="0600" w:firstRow="0" w:lastRow="0" w:firstColumn="0" w:lastColumn="0" w:noHBand="1" w:noVBand="1"/>
    </w:tblPr>
    <w:tblGrid>
      <w:gridCol w:w="9296"/>
      <w:gridCol w:w="1022"/>
    </w:tblGrid>
    <w:tr w:rsidR="0071110A" w14:paraId="749E94EA" w14:textId="77777777" w:rsidTr="0071110A">
      <w:sdt>
        <w:sdtPr>
          <w:alias w:val="Footer"/>
          <w:tag w:val="Abstract"/>
          <w:id w:val="-2111958290"/>
          <w:dataBinding w:prefixMappings="xmlns:ns0='http://schemas.microsoft.com/office/2006/coverPageProps' " w:xpath="/ns0:CoverPageProperties[1]/ns0:Abstract[1]" w:storeItemID="{55AF091B-3C7A-41E3-B477-F2FDAA23CFDA}"/>
          <w:text/>
        </w:sdtPr>
        <w:sdtEndPr/>
        <w:sdtContent>
          <w:tc>
            <w:tcPr>
              <w:tcW w:w="5159" w:type="dxa"/>
            </w:tcPr>
            <w:p w14:paraId="31142DE4" w14:textId="77777777" w:rsidR="0071110A" w:rsidRDefault="001002A2" w:rsidP="0056359A">
              <w:pPr>
                <w:pStyle w:val="Footer"/>
              </w:pPr>
              <w:r>
                <w:t>Australia Council for the Arts</w:t>
              </w:r>
            </w:p>
          </w:tc>
        </w:sdtContent>
      </w:sdt>
      <w:tc>
        <w:tcPr>
          <w:tcW w:w="567" w:type="dxa"/>
        </w:tcPr>
        <w:p w14:paraId="6E314E87" w14:textId="77777777" w:rsidR="0071110A" w:rsidRDefault="0071110A" w:rsidP="0071110A">
          <w:pPr>
            <w:pStyle w:val="Footer"/>
            <w:jc w:val="right"/>
          </w:pPr>
          <w:r>
            <w:fldChar w:fldCharType="begin"/>
          </w:r>
          <w:r>
            <w:instrText xml:space="preserve"> PAGE   \* MERGEFORMAT </w:instrText>
          </w:r>
          <w:r>
            <w:fldChar w:fldCharType="separate"/>
          </w:r>
          <w:r>
            <w:t>2</w:t>
          </w:r>
          <w:r>
            <w:rPr>
              <w:noProof/>
            </w:rPr>
            <w:fldChar w:fldCharType="end"/>
          </w:r>
        </w:p>
      </w:tc>
    </w:tr>
  </w:tbl>
  <w:p w14:paraId="02C3C93A" w14:textId="77777777" w:rsidR="0056359A" w:rsidRPr="0071110A" w:rsidRDefault="0056359A" w:rsidP="0056359A">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Look w:val="0600" w:firstRow="0" w:lastRow="0" w:firstColumn="0" w:lastColumn="0" w:noHBand="1" w:noVBand="1"/>
    </w:tblPr>
    <w:tblGrid>
      <w:gridCol w:w="9296"/>
      <w:gridCol w:w="1022"/>
    </w:tblGrid>
    <w:tr w:rsidR="0071110A" w14:paraId="2B2F12F7" w14:textId="77777777" w:rsidTr="00275780">
      <w:sdt>
        <w:sdtPr>
          <w:alias w:val="Footer"/>
          <w:tag w:val="Abstract"/>
          <w:id w:val="397415606"/>
          <w:dataBinding w:prefixMappings="xmlns:ns0='http://schemas.microsoft.com/office/2006/coverPageProps' " w:xpath="/ns0:CoverPageProperties[1]/ns0:Abstract[1]" w:storeItemID="{55AF091B-3C7A-41E3-B477-F2FDAA23CFDA}"/>
          <w:text/>
        </w:sdtPr>
        <w:sdtEndPr/>
        <w:sdtContent>
          <w:tc>
            <w:tcPr>
              <w:tcW w:w="5159" w:type="dxa"/>
            </w:tcPr>
            <w:p w14:paraId="60F6473E" w14:textId="77777777" w:rsidR="0071110A" w:rsidRDefault="001002A2" w:rsidP="0071110A">
              <w:pPr>
                <w:pStyle w:val="Footer"/>
              </w:pPr>
              <w:r>
                <w:t>Australia Council for the Arts</w:t>
              </w:r>
            </w:p>
          </w:tc>
        </w:sdtContent>
      </w:sdt>
      <w:tc>
        <w:tcPr>
          <w:tcW w:w="567" w:type="dxa"/>
        </w:tcPr>
        <w:p w14:paraId="631802C4" w14:textId="77777777" w:rsidR="0071110A" w:rsidRDefault="0071110A" w:rsidP="0071110A">
          <w:pPr>
            <w:pStyle w:val="Footer"/>
            <w:jc w:val="right"/>
          </w:pPr>
          <w:r>
            <w:fldChar w:fldCharType="begin"/>
          </w:r>
          <w:r>
            <w:instrText xml:space="preserve"> PAGE   \* MERGEFORMAT </w:instrText>
          </w:r>
          <w:r>
            <w:fldChar w:fldCharType="separate"/>
          </w:r>
          <w:r>
            <w:t>2</w:t>
          </w:r>
          <w:r>
            <w:rPr>
              <w:noProof/>
            </w:rPr>
            <w:fldChar w:fldCharType="end"/>
          </w:r>
        </w:p>
      </w:tc>
    </w:tr>
  </w:tbl>
  <w:p w14:paraId="47F74793" w14:textId="77777777" w:rsidR="0071110A" w:rsidRPr="0071110A" w:rsidRDefault="0071110A" w:rsidP="0071110A">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B7612" w14:textId="77777777" w:rsidR="00074335" w:rsidRDefault="00074335" w:rsidP="00185154">
      <w:r>
        <w:separator/>
      </w:r>
    </w:p>
    <w:p w14:paraId="620D6E1F" w14:textId="77777777" w:rsidR="00074335" w:rsidRPr="000C7AE2" w:rsidRDefault="00074335">
      <w:pPr>
        <w:rPr>
          <w:sz w:val="8"/>
        </w:rPr>
      </w:pPr>
    </w:p>
  </w:footnote>
  <w:footnote w:type="continuationSeparator" w:id="0">
    <w:p w14:paraId="07065E92" w14:textId="77777777" w:rsidR="00074335" w:rsidRDefault="00074335" w:rsidP="00185154">
      <w:r>
        <w:continuationSeparator/>
      </w:r>
    </w:p>
    <w:p w14:paraId="1A66C1A3" w14:textId="77777777" w:rsidR="00074335" w:rsidRPr="000C7AE2" w:rsidRDefault="00074335">
      <w:pPr>
        <w:rPr>
          <w:sz w:val="8"/>
        </w:rPr>
      </w:pPr>
    </w:p>
  </w:footnote>
  <w:footnote w:type="continuationNotice" w:id="1">
    <w:p w14:paraId="10CDBE21" w14:textId="77777777" w:rsidR="00074335" w:rsidRPr="000C7AE2" w:rsidRDefault="00074335" w:rsidP="000C7AE2">
      <w:pPr>
        <w:pStyle w:val="Footer"/>
      </w:pPr>
    </w:p>
  </w:footnote>
  <w:footnote w:id="2">
    <w:p w14:paraId="619FAFB0" w14:textId="77777777" w:rsidR="00FD4244" w:rsidRPr="000D6862" w:rsidRDefault="00FD4244" w:rsidP="00FD4244">
      <w:pPr>
        <w:pStyle w:val="FootnoteText"/>
        <w:rPr>
          <w:rFonts w:cstheme="minorHAnsi"/>
          <w:i/>
          <w:szCs w:val="16"/>
        </w:rPr>
      </w:pPr>
      <w:r w:rsidRPr="000D6862">
        <w:rPr>
          <w:rStyle w:val="FootnoteReference"/>
          <w:rFonts w:cstheme="minorHAnsi"/>
          <w:szCs w:val="16"/>
        </w:rPr>
        <w:footnoteRef/>
      </w:r>
      <w:r w:rsidRPr="000D6862">
        <w:rPr>
          <w:rFonts w:cstheme="minorHAnsi"/>
          <w:szCs w:val="16"/>
        </w:rPr>
        <w:t xml:space="preserve"> Bureau of Communications and Arts Research (BCAR) 2020, </w:t>
      </w:r>
      <w:hyperlink r:id="rId1" w:history="1">
        <w:r w:rsidRPr="000D6862">
          <w:rPr>
            <w:rStyle w:val="Hyperlink"/>
            <w:rFonts w:cstheme="minorHAnsi"/>
            <w:i/>
            <w:iCs/>
            <w:sz w:val="16"/>
            <w:szCs w:val="16"/>
          </w:rPr>
          <w:t>Characteristics of Employment and Business Activity in Cultural and Creative Sectors</w:t>
        </w:r>
      </w:hyperlink>
      <w:r w:rsidRPr="000D6862">
        <w:rPr>
          <w:rFonts w:cstheme="minorHAnsi"/>
          <w:i/>
          <w:iCs/>
          <w:szCs w:val="16"/>
        </w:rPr>
        <w:t>.</w:t>
      </w:r>
    </w:p>
  </w:footnote>
  <w:footnote w:id="3">
    <w:p w14:paraId="4623D5C5" w14:textId="77777777" w:rsidR="00FD4244" w:rsidRPr="000D6862" w:rsidRDefault="00FD4244" w:rsidP="00FD4244">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Lei C 2022, </w:t>
      </w:r>
      <w:hyperlink r:id="rId2" w:history="1">
        <w:r w:rsidRPr="000D6862">
          <w:rPr>
            <w:rStyle w:val="Hyperlink"/>
            <w:rFonts w:cstheme="minorHAnsi"/>
            <w:sz w:val="16"/>
            <w:szCs w:val="16"/>
          </w:rPr>
          <w:t>Audience Hesitancy is Omicron’s New Curse</w:t>
        </w:r>
      </w:hyperlink>
      <w:r w:rsidRPr="000D6862">
        <w:rPr>
          <w:rFonts w:cstheme="minorHAnsi"/>
          <w:szCs w:val="16"/>
        </w:rPr>
        <w:t xml:space="preserve">, </w:t>
      </w:r>
      <w:r w:rsidRPr="000D6862">
        <w:rPr>
          <w:rFonts w:cstheme="minorHAnsi"/>
          <w:i/>
          <w:szCs w:val="16"/>
        </w:rPr>
        <w:t>ArtsHub</w:t>
      </w:r>
      <w:r w:rsidRPr="000D6862">
        <w:rPr>
          <w:rFonts w:cstheme="minorHAnsi"/>
          <w:iCs/>
          <w:szCs w:val="16"/>
        </w:rPr>
        <w:t>.</w:t>
      </w:r>
    </w:p>
  </w:footnote>
  <w:footnote w:id="4">
    <w:p w14:paraId="67CCB072" w14:textId="77777777" w:rsidR="00FD4244" w:rsidRPr="000D6862" w:rsidRDefault="00FD4244" w:rsidP="00FD4244">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Patternmakers 2022, </w:t>
      </w:r>
      <w:hyperlink r:id="rId3" w:history="1">
        <w:r w:rsidRPr="000D6862">
          <w:rPr>
            <w:rStyle w:val="Hyperlink"/>
            <w:rFonts w:cstheme="minorHAnsi"/>
            <w:i/>
            <w:iCs/>
            <w:sz w:val="16"/>
            <w:szCs w:val="16"/>
          </w:rPr>
          <w:t>Audience Outlook Monitor: Australia snapshot report, March 2022</w:t>
        </w:r>
      </w:hyperlink>
      <w:r w:rsidRPr="000D6862">
        <w:rPr>
          <w:rFonts w:eastAsia="Times New Roman" w:cstheme="minorHAnsi"/>
          <w:i/>
          <w:iCs/>
          <w:szCs w:val="16"/>
          <w:lang w:eastAsia="en-AU"/>
        </w:rPr>
        <w:t>.</w:t>
      </w:r>
      <w:r w:rsidRPr="000D6862">
        <w:rPr>
          <w:rFonts w:cstheme="minorHAnsi"/>
          <w:szCs w:val="16"/>
        </w:rPr>
        <w:t xml:space="preserve"> The March 2022 phase of data collection for the Audience Outlook Monitor showed, nationally, 7 in 10 (70%) audience members are attending in person events ‘right now’, compared to November 2021 where 29% (Delta-outbreak affected states) and 74% (rest of the country) were attending. This figure is the highest national rate of attendance seen since March 2021 (71%), prior to 2021 Delta outbreaks in the eastern states.</w:t>
      </w:r>
    </w:p>
  </w:footnote>
  <w:footnote w:id="5">
    <w:p w14:paraId="6427B1CE" w14:textId="77777777" w:rsidR="00A70F9C" w:rsidRPr="000D6862" w:rsidRDefault="00A70F9C" w:rsidP="00A70F9C">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Miller N 2021, </w:t>
      </w:r>
      <w:hyperlink r:id="rId4" w:history="1">
        <w:r w:rsidRPr="000D6862">
          <w:rPr>
            <w:rStyle w:val="Hyperlink"/>
            <w:rFonts w:cstheme="minorHAnsi"/>
            <w:sz w:val="16"/>
            <w:szCs w:val="16"/>
          </w:rPr>
          <w:t>‘You Saved Our Lives’: Digital concert hall celebrates its extraordinary year</w:t>
        </w:r>
      </w:hyperlink>
      <w:r w:rsidRPr="000D6862">
        <w:rPr>
          <w:rFonts w:cstheme="minorHAnsi"/>
          <w:szCs w:val="16"/>
        </w:rPr>
        <w:t>,</w:t>
      </w:r>
      <w:r w:rsidRPr="000D6862">
        <w:rPr>
          <w:rFonts w:cstheme="minorHAnsi"/>
          <w:i/>
          <w:iCs/>
          <w:szCs w:val="16"/>
        </w:rPr>
        <w:t xml:space="preserve"> The Age</w:t>
      </w:r>
      <w:r w:rsidRPr="000D6862">
        <w:rPr>
          <w:rFonts w:cstheme="minorHAnsi"/>
          <w:szCs w:val="16"/>
        </w:rPr>
        <w:t>.</w:t>
      </w:r>
    </w:p>
  </w:footnote>
  <w:footnote w:id="6">
    <w:p w14:paraId="61DD09CB" w14:textId="77777777" w:rsidR="00A70F9C" w:rsidRPr="000D6862" w:rsidRDefault="00A70F9C" w:rsidP="00A70F9C">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ABS 2020,</w:t>
      </w:r>
      <w:r w:rsidRPr="000D6862">
        <w:rPr>
          <w:rFonts w:cstheme="minorHAnsi"/>
          <w:i/>
          <w:szCs w:val="16"/>
        </w:rPr>
        <w:t xml:space="preserve"> </w:t>
      </w:r>
      <w:hyperlink r:id="rId5" w:history="1">
        <w:r w:rsidRPr="000D6862">
          <w:rPr>
            <w:rStyle w:val="Hyperlink"/>
            <w:rFonts w:cstheme="minorHAnsi"/>
            <w:i/>
            <w:sz w:val="16"/>
            <w:szCs w:val="16"/>
          </w:rPr>
          <w:t>Business Conditions and Sentiments March.</w:t>
        </w:r>
      </w:hyperlink>
      <w:r w:rsidRPr="000D6862">
        <w:rPr>
          <w:rFonts w:cstheme="minorHAnsi"/>
          <w:szCs w:val="16"/>
        </w:rPr>
        <w:t xml:space="preserve"> Note, ABS’s classification of the ‘arts and recreation’ services is extremely diverse and expands beyond the cultural and creative industries. This activity includes heritage activities, creative and performing arts activities, sports and recreation activities and gambling activities. Any mention in this report to ‘arts and recreation businesses’ or ‘arts and recreation services’ refers to this broad group of activity.</w:t>
      </w:r>
    </w:p>
  </w:footnote>
  <w:footnote w:id="7">
    <w:p w14:paraId="77CDA867" w14:textId="77777777" w:rsidR="00A70F9C" w:rsidRPr="000D6862" w:rsidRDefault="00A70F9C" w:rsidP="00A70F9C">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See Australia Council 2020, </w:t>
      </w:r>
      <w:hyperlink r:id="rId6" w:history="1">
        <w:r w:rsidRPr="000D6862">
          <w:rPr>
            <w:rStyle w:val="Hyperlink"/>
            <w:rFonts w:cstheme="minorHAnsi"/>
            <w:sz w:val="16"/>
            <w:szCs w:val="16"/>
          </w:rPr>
          <w:t>Summary of COVID-19 Impact Surveys (Last Updated 6 April 2020).</w:t>
        </w:r>
      </w:hyperlink>
    </w:p>
  </w:footnote>
  <w:footnote w:id="8">
    <w:p w14:paraId="27C27AB2" w14:textId="77777777" w:rsidR="00A70F9C" w:rsidRPr="000D6862" w:rsidRDefault="00A70F9C" w:rsidP="00A70F9C">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ABS 2020, </w:t>
      </w:r>
      <w:hyperlink r:id="rId7" w:history="1">
        <w:r w:rsidRPr="000D6862">
          <w:rPr>
            <w:rStyle w:val="Hyperlink"/>
            <w:rFonts w:cstheme="minorHAnsi"/>
            <w:i/>
            <w:sz w:val="16"/>
            <w:szCs w:val="16"/>
          </w:rPr>
          <w:t>Business Conditions and Sentiments April.</w:t>
        </w:r>
      </w:hyperlink>
      <w:r w:rsidRPr="000D6862">
        <w:rPr>
          <w:rFonts w:cstheme="minorHAnsi"/>
          <w:szCs w:val="16"/>
        </w:rPr>
        <w:t xml:space="preserve"> </w:t>
      </w:r>
    </w:p>
  </w:footnote>
  <w:footnote w:id="9">
    <w:p w14:paraId="6AE9BB21" w14:textId="77777777" w:rsidR="00A70F9C" w:rsidRPr="000D6862" w:rsidRDefault="00A70F9C" w:rsidP="00A70F9C">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Patternmakers 2020, </w:t>
      </w:r>
      <w:hyperlink r:id="rId8" w:history="1">
        <w:r w:rsidRPr="000D6862">
          <w:rPr>
            <w:rStyle w:val="Hyperlink"/>
            <w:rFonts w:cstheme="minorHAnsi"/>
            <w:i/>
            <w:iCs/>
            <w:sz w:val="16"/>
            <w:szCs w:val="16"/>
          </w:rPr>
          <w:t>Audience Outlook Monitor: Australia snapshot report, May 2020</w:t>
        </w:r>
      </w:hyperlink>
    </w:p>
  </w:footnote>
  <w:footnote w:id="10">
    <w:p w14:paraId="23BCD13C" w14:textId="77777777" w:rsidR="00A70F9C" w:rsidRPr="000D6862" w:rsidRDefault="00A70F9C" w:rsidP="00A70F9C">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Desart Inc 2020, </w:t>
      </w:r>
      <w:hyperlink r:id="rId9" w:history="1">
        <w:r w:rsidRPr="000D6862">
          <w:rPr>
            <w:rStyle w:val="Hyperlink"/>
            <w:rFonts w:cstheme="minorHAnsi"/>
            <w:i/>
            <w:sz w:val="16"/>
            <w:szCs w:val="16"/>
          </w:rPr>
          <w:t>Art Centres and COVID-19</w:t>
        </w:r>
      </w:hyperlink>
      <w:r w:rsidRPr="000D6862">
        <w:rPr>
          <w:rFonts w:cstheme="minorHAnsi"/>
          <w:szCs w:val="16"/>
        </w:rPr>
        <w:t>.</w:t>
      </w:r>
    </w:p>
  </w:footnote>
  <w:footnote w:id="11">
    <w:p w14:paraId="1DB3A22C" w14:textId="77777777" w:rsidR="00A70F9C" w:rsidRPr="000D6862" w:rsidRDefault="00A70F9C" w:rsidP="00A70F9C">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Australia Council 2020, </w:t>
      </w:r>
      <w:hyperlink r:id="rId10" w:history="1">
        <w:r w:rsidRPr="000D6862">
          <w:rPr>
            <w:rStyle w:val="Hyperlink"/>
            <w:rFonts w:cstheme="minorHAnsi"/>
            <w:i/>
            <w:iCs/>
            <w:sz w:val="16"/>
            <w:szCs w:val="16"/>
          </w:rPr>
          <w:t>Arts Engagement During the COVID-19 Pandemic</w:t>
        </w:r>
      </w:hyperlink>
      <w:r w:rsidRPr="000D6862">
        <w:rPr>
          <w:rFonts w:cstheme="minorHAnsi"/>
          <w:szCs w:val="16"/>
        </w:rPr>
        <w:t xml:space="preserve">, based on Lonergan Research’s Omnibus; The Australia Institute 2020, </w:t>
      </w:r>
      <w:hyperlink r:id="rId11" w:history="1">
        <w:r w:rsidRPr="000D6862">
          <w:rPr>
            <w:rStyle w:val="Hyperlink"/>
            <w:rFonts w:cstheme="minorHAnsi"/>
            <w:i/>
            <w:iCs/>
            <w:sz w:val="16"/>
            <w:szCs w:val="16"/>
          </w:rPr>
          <w:t>Polling – Lockdown and the Arts May 2020</w:t>
        </w:r>
      </w:hyperlink>
      <w:r w:rsidRPr="000D6862">
        <w:rPr>
          <w:rFonts w:cstheme="minorHAnsi"/>
          <w:szCs w:val="16"/>
        </w:rPr>
        <w:t>.</w:t>
      </w:r>
    </w:p>
  </w:footnote>
  <w:footnote w:id="12">
    <w:p w14:paraId="0F612E61" w14:textId="77777777" w:rsidR="00A70F9C" w:rsidRPr="000D6862" w:rsidRDefault="00A70F9C" w:rsidP="00A70F9C">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Patternmakers 2020, </w:t>
      </w:r>
      <w:hyperlink r:id="rId12" w:history="1">
        <w:r w:rsidRPr="000D6862">
          <w:rPr>
            <w:rStyle w:val="Hyperlink"/>
            <w:rFonts w:cstheme="minorHAnsi"/>
            <w:i/>
            <w:iCs/>
            <w:sz w:val="16"/>
            <w:szCs w:val="16"/>
          </w:rPr>
          <w:t>Audience Outlook Monitor: Australia snapshot report, July, 2020</w:t>
        </w:r>
      </w:hyperlink>
      <w:r w:rsidRPr="000D6862">
        <w:rPr>
          <w:rStyle w:val="Hyperlink"/>
          <w:rFonts w:cstheme="minorHAnsi"/>
          <w:i/>
          <w:iCs/>
          <w:sz w:val="16"/>
          <w:szCs w:val="16"/>
        </w:rPr>
        <w:t>.</w:t>
      </w:r>
    </w:p>
  </w:footnote>
  <w:footnote w:id="13">
    <w:p w14:paraId="1E3D0227" w14:textId="77777777" w:rsidR="00A70F9C" w:rsidRPr="000D6862" w:rsidRDefault="00A70F9C" w:rsidP="00A70F9C">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Paul Fletcher MP 2020, </w:t>
      </w:r>
      <w:hyperlink r:id="rId13" w:history="1">
        <w:r w:rsidRPr="000D6862">
          <w:rPr>
            <w:rStyle w:val="Hyperlink"/>
            <w:rFonts w:cstheme="minorHAnsi"/>
            <w:i/>
            <w:iCs/>
            <w:sz w:val="16"/>
            <w:szCs w:val="16"/>
          </w:rPr>
          <w:t>RISE Fund and Sustainability Fund Guidelines Released</w:t>
        </w:r>
      </w:hyperlink>
      <w:r w:rsidRPr="000D6862">
        <w:rPr>
          <w:rFonts w:cstheme="minorHAnsi"/>
          <w:szCs w:val="16"/>
        </w:rPr>
        <w:t xml:space="preserve"> </w:t>
      </w:r>
      <w:r w:rsidRPr="000D6862">
        <w:rPr>
          <w:rFonts w:cstheme="minorHAnsi"/>
          <w:i/>
          <w:iCs/>
          <w:szCs w:val="16"/>
        </w:rPr>
        <w:t>[Media release].</w:t>
      </w:r>
      <w:r w:rsidRPr="000D6862">
        <w:rPr>
          <w:rFonts w:cstheme="minorHAnsi"/>
          <w:szCs w:val="16"/>
        </w:rPr>
        <w:t xml:space="preserve"> </w:t>
      </w:r>
    </w:p>
  </w:footnote>
  <w:footnote w:id="14">
    <w:p w14:paraId="25884D83" w14:textId="77777777" w:rsidR="00A70F9C" w:rsidRPr="000D6862" w:rsidRDefault="00A70F9C" w:rsidP="00A70F9C">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ABS 2020, </w:t>
      </w:r>
      <w:hyperlink r:id="rId14" w:history="1">
        <w:r w:rsidRPr="000D6862">
          <w:rPr>
            <w:rStyle w:val="Hyperlink"/>
            <w:rFonts w:cstheme="minorHAnsi"/>
            <w:sz w:val="16"/>
            <w:szCs w:val="16"/>
          </w:rPr>
          <w:t>Business Conditions and Sentiments September.</w:t>
        </w:r>
      </w:hyperlink>
      <w:r w:rsidRPr="000D6862">
        <w:rPr>
          <w:rFonts w:cstheme="minorHAnsi"/>
          <w:szCs w:val="16"/>
        </w:rPr>
        <w:t xml:space="preserve"> </w:t>
      </w:r>
    </w:p>
  </w:footnote>
  <w:footnote w:id="15">
    <w:p w14:paraId="79126F08" w14:textId="77777777" w:rsidR="00A70F9C" w:rsidRPr="000D6862" w:rsidRDefault="00A70F9C" w:rsidP="00A70F9C">
      <w:pPr>
        <w:pStyle w:val="FootnoteText"/>
        <w:rPr>
          <w:rFonts w:cstheme="minorHAnsi"/>
          <w:b/>
          <w:szCs w:val="16"/>
        </w:rPr>
      </w:pPr>
      <w:r w:rsidRPr="000D6862">
        <w:rPr>
          <w:rStyle w:val="FootnoteReference"/>
          <w:rFonts w:cstheme="minorHAnsi"/>
          <w:szCs w:val="16"/>
        </w:rPr>
        <w:footnoteRef/>
      </w:r>
      <w:r w:rsidRPr="000D6862">
        <w:rPr>
          <w:rFonts w:cstheme="minorHAnsi"/>
          <w:szCs w:val="16"/>
        </w:rPr>
        <w:t xml:space="preserve"> Patternmakers 2020, </w:t>
      </w:r>
      <w:hyperlink r:id="rId15" w:history="1">
        <w:r w:rsidRPr="000D6862">
          <w:rPr>
            <w:rStyle w:val="Hyperlink"/>
            <w:rFonts w:cstheme="minorHAnsi"/>
            <w:i/>
            <w:iCs/>
            <w:sz w:val="16"/>
            <w:szCs w:val="16"/>
          </w:rPr>
          <w:t>Audience Outlook Monitor: Australia snapshot report, September, 2020</w:t>
        </w:r>
      </w:hyperlink>
      <w:r w:rsidRPr="000D6862">
        <w:rPr>
          <w:rStyle w:val="Hyperlink"/>
          <w:rFonts w:cstheme="minorHAnsi"/>
          <w:i/>
          <w:iCs/>
          <w:sz w:val="16"/>
          <w:szCs w:val="16"/>
        </w:rPr>
        <w:t>.</w:t>
      </w:r>
    </w:p>
  </w:footnote>
  <w:footnote w:id="16">
    <w:p w14:paraId="533A7AF2" w14:textId="77777777" w:rsidR="00A70F9C" w:rsidRPr="000D6862" w:rsidRDefault="00A70F9C" w:rsidP="00A70F9C">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ABS 2020, </w:t>
      </w:r>
      <w:hyperlink r:id="rId16" w:history="1">
        <w:r w:rsidRPr="000D6862">
          <w:rPr>
            <w:rStyle w:val="Hyperlink"/>
            <w:rFonts w:cstheme="minorHAnsi"/>
            <w:sz w:val="16"/>
            <w:szCs w:val="16"/>
          </w:rPr>
          <w:t>Business Conditions and Sentiments December.</w:t>
        </w:r>
      </w:hyperlink>
      <w:r w:rsidRPr="000D6862">
        <w:rPr>
          <w:rFonts w:cstheme="minorHAnsi"/>
          <w:szCs w:val="16"/>
        </w:rPr>
        <w:t xml:space="preserve"> </w:t>
      </w:r>
    </w:p>
  </w:footnote>
  <w:footnote w:id="17">
    <w:p w14:paraId="058B6544" w14:textId="78DD6CE8" w:rsidR="00A70F9C" w:rsidRPr="000D6862" w:rsidRDefault="00A70F9C" w:rsidP="00A70F9C">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Patternmakers 2021, </w:t>
      </w:r>
      <w:hyperlink r:id="rId17" w:history="1">
        <w:r w:rsidRPr="000D6862">
          <w:rPr>
            <w:rStyle w:val="Hyperlink"/>
            <w:rFonts w:cstheme="minorHAnsi"/>
            <w:i/>
            <w:iCs/>
            <w:sz w:val="16"/>
            <w:szCs w:val="16"/>
          </w:rPr>
          <w:t>Audience Outlook Monitor: Australia snapshot report, March 2021.</w:t>
        </w:r>
      </w:hyperlink>
    </w:p>
  </w:footnote>
  <w:footnote w:id="18">
    <w:p w14:paraId="4FB8A2E4" w14:textId="77777777" w:rsidR="00A70F9C" w:rsidRPr="000D6862" w:rsidRDefault="00A70F9C" w:rsidP="00A70F9C">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ABS 2021, </w:t>
      </w:r>
      <w:hyperlink r:id="rId18" w:history="1">
        <w:r w:rsidRPr="000D6862">
          <w:rPr>
            <w:rStyle w:val="Hyperlink"/>
            <w:rFonts w:cstheme="minorHAnsi"/>
            <w:sz w:val="16"/>
            <w:szCs w:val="16"/>
          </w:rPr>
          <w:t>Business Conditions and Sentiments June</w:t>
        </w:r>
      </w:hyperlink>
      <w:r w:rsidRPr="000D6862">
        <w:rPr>
          <w:rFonts w:cstheme="minorHAnsi"/>
          <w:szCs w:val="16"/>
        </w:rPr>
        <w:t xml:space="preserve">. </w:t>
      </w:r>
    </w:p>
  </w:footnote>
  <w:footnote w:id="19">
    <w:p w14:paraId="794DDFB7" w14:textId="4E9658E7" w:rsidR="00A70F9C" w:rsidRPr="000D6862" w:rsidRDefault="00A70F9C" w:rsidP="00A70F9C">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Patternmakers 2021, </w:t>
      </w:r>
      <w:hyperlink r:id="rId19" w:history="1">
        <w:r w:rsidRPr="000D6862">
          <w:rPr>
            <w:rStyle w:val="Hyperlink"/>
            <w:rFonts w:cstheme="minorHAnsi"/>
            <w:i/>
            <w:iCs/>
            <w:sz w:val="16"/>
            <w:szCs w:val="16"/>
          </w:rPr>
          <w:t>Audience Outlook Monitor: Australia snapshot report, July 2021.</w:t>
        </w:r>
      </w:hyperlink>
    </w:p>
  </w:footnote>
  <w:footnote w:id="20">
    <w:p w14:paraId="3B8C55FC" w14:textId="77777777" w:rsidR="00A70F9C" w:rsidRPr="000D6862" w:rsidRDefault="00A70F9C" w:rsidP="00A70F9C">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Patternmakers 2021, </w:t>
      </w:r>
      <w:hyperlink r:id="rId20" w:history="1">
        <w:r w:rsidRPr="000D6862">
          <w:rPr>
            <w:rStyle w:val="Hyperlink"/>
            <w:rFonts w:cstheme="minorHAnsi"/>
            <w:i/>
            <w:iCs/>
            <w:sz w:val="16"/>
            <w:szCs w:val="16"/>
          </w:rPr>
          <w:t>Audience Outlook Monitor: Australia snapshot report, November 2021.</w:t>
        </w:r>
      </w:hyperlink>
    </w:p>
  </w:footnote>
  <w:footnote w:id="21">
    <w:p w14:paraId="11CB6A9C" w14:textId="77777777" w:rsidR="00A70F9C" w:rsidRPr="000D6862" w:rsidRDefault="00A70F9C" w:rsidP="00A70F9C">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Rusak H et al 2021, </w:t>
      </w:r>
      <w:r w:rsidRPr="000D6862">
        <w:rPr>
          <w:rFonts w:cstheme="minorHAnsi"/>
          <w:i/>
          <w:szCs w:val="16"/>
        </w:rPr>
        <w:t>Breathing Through the Pandemic: Performing arts challenges and responses to the mental health implications of COVID-19</w:t>
      </w:r>
      <w:r w:rsidRPr="000D6862">
        <w:rPr>
          <w:rFonts w:cstheme="minorHAnsi"/>
          <w:szCs w:val="16"/>
        </w:rPr>
        <w:t>, WAAPA.</w:t>
      </w:r>
    </w:p>
  </w:footnote>
  <w:footnote w:id="22">
    <w:p w14:paraId="43C58FC7" w14:textId="77777777" w:rsidR="00A70F9C" w:rsidRPr="000D6862" w:rsidRDefault="00A70F9C" w:rsidP="00A70F9C">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Burke K 2021, </w:t>
      </w:r>
      <w:hyperlink r:id="rId21" w:history="1">
        <w:r w:rsidRPr="000D6862">
          <w:rPr>
            <w:rStyle w:val="Hyperlink"/>
            <w:rFonts w:cstheme="minorHAnsi"/>
            <w:sz w:val="16"/>
            <w:szCs w:val="16"/>
          </w:rPr>
          <w:t>'Absolutely Heartbroken’: Event cancellations return to devastate Australia’s music industry</w:t>
        </w:r>
      </w:hyperlink>
      <w:r w:rsidRPr="000D6862">
        <w:rPr>
          <w:rFonts w:cstheme="minorHAnsi"/>
          <w:szCs w:val="16"/>
        </w:rPr>
        <w:t xml:space="preserve">, </w:t>
      </w:r>
      <w:r w:rsidRPr="000D6862">
        <w:rPr>
          <w:rFonts w:cstheme="minorHAnsi"/>
          <w:i/>
          <w:szCs w:val="16"/>
        </w:rPr>
        <w:t>The Guardian</w:t>
      </w:r>
      <w:r w:rsidRPr="000D6862">
        <w:rPr>
          <w:rFonts w:cstheme="minorHAnsi"/>
          <w:szCs w:val="16"/>
        </w:rPr>
        <w:t>.</w:t>
      </w:r>
    </w:p>
  </w:footnote>
  <w:footnote w:id="23">
    <w:p w14:paraId="0D29AC79" w14:textId="77777777" w:rsidR="00A70F9C" w:rsidRPr="000D6862" w:rsidRDefault="00A70F9C" w:rsidP="00A70F9C">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ABS 2022, </w:t>
      </w:r>
      <w:hyperlink r:id="rId22" w:history="1">
        <w:r w:rsidRPr="000D6862">
          <w:rPr>
            <w:rStyle w:val="Hyperlink"/>
            <w:rFonts w:cstheme="minorHAnsi"/>
            <w:sz w:val="16"/>
            <w:szCs w:val="16"/>
          </w:rPr>
          <w:t>Business Conditions and Sentiments January.</w:t>
        </w:r>
      </w:hyperlink>
      <w:r w:rsidRPr="000D6862">
        <w:rPr>
          <w:rFonts w:cstheme="minorHAnsi"/>
          <w:szCs w:val="16"/>
        </w:rPr>
        <w:t xml:space="preserve"> </w:t>
      </w:r>
    </w:p>
  </w:footnote>
  <w:footnote w:id="24">
    <w:p w14:paraId="12CA5602" w14:textId="77777777" w:rsidR="00A70F9C" w:rsidRPr="000D6862" w:rsidRDefault="00A70F9C" w:rsidP="00A70F9C">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Patternmakers 2022, </w:t>
      </w:r>
      <w:hyperlink r:id="rId23" w:history="1">
        <w:r w:rsidRPr="000D6862">
          <w:rPr>
            <w:rStyle w:val="Hyperlink"/>
            <w:rFonts w:cstheme="minorHAnsi"/>
            <w:i/>
            <w:iCs/>
            <w:sz w:val="16"/>
            <w:szCs w:val="16"/>
          </w:rPr>
          <w:t>Audience Outlook Monitor: Australia snapshot report, March 2022</w:t>
        </w:r>
      </w:hyperlink>
      <w:r w:rsidRPr="000D6862">
        <w:rPr>
          <w:rFonts w:eastAsia="Times New Roman" w:cstheme="minorHAnsi"/>
          <w:i/>
          <w:iCs/>
          <w:szCs w:val="16"/>
          <w:lang w:eastAsia="en-AU"/>
        </w:rPr>
        <w:t>.</w:t>
      </w:r>
    </w:p>
  </w:footnote>
  <w:footnote w:id="25">
    <w:p w14:paraId="1D0136F2" w14:textId="77777777" w:rsidR="00B65436" w:rsidRPr="000D6862" w:rsidRDefault="00B65436" w:rsidP="00B65436">
      <w:pPr>
        <w:pStyle w:val="FootnoteText"/>
        <w:rPr>
          <w:rFonts w:cstheme="minorHAnsi"/>
          <w:i/>
          <w:szCs w:val="16"/>
        </w:rPr>
      </w:pPr>
      <w:r w:rsidRPr="000D6862">
        <w:rPr>
          <w:rStyle w:val="FootnoteReference"/>
          <w:rFonts w:cstheme="minorHAnsi"/>
          <w:szCs w:val="16"/>
        </w:rPr>
        <w:footnoteRef/>
      </w:r>
      <w:r w:rsidRPr="000D6862">
        <w:rPr>
          <w:rFonts w:cstheme="minorHAnsi"/>
          <w:szCs w:val="16"/>
        </w:rPr>
        <w:t xml:space="preserve"> Australia Council 2020, </w:t>
      </w:r>
      <w:hyperlink r:id="rId24" w:history="1">
        <w:r w:rsidRPr="000D6862">
          <w:rPr>
            <w:rStyle w:val="Hyperlink"/>
            <w:rFonts w:cstheme="minorHAnsi"/>
            <w:i/>
            <w:sz w:val="16"/>
            <w:szCs w:val="16"/>
          </w:rPr>
          <w:t>Arts Engagement During the COVID-19 Pandemic</w:t>
        </w:r>
      </w:hyperlink>
      <w:r w:rsidRPr="000D6862">
        <w:rPr>
          <w:rFonts w:cstheme="minorHAnsi"/>
          <w:szCs w:val="16"/>
        </w:rPr>
        <w:t xml:space="preserve">, based on Lonergan Research’s Omnibus Survey, April 2020. Patternmakers 2020, </w:t>
      </w:r>
      <w:hyperlink r:id="rId25" w:history="1">
        <w:r w:rsidRPr="000D6862">
          <w:rPr>
            <w:rStyle w:val="Hyperlink"/>
            <w:rFonts w:cstheme="minorHAnsi"/>
            <w:i/>
            <w:sz w:val="16"/>
            <w:szCs w:val="16"/>
          </w:rPr>
          <w:t>Audience Outlook Monitor: Australia snapshot report, May 2020</w:t>
        </w:r>
      </w:hyperlink>
      <w:r w:rsidRPr="000D6862">
        <w:rPr>
          <w:rFonts w:cstheme="minorHAnsi"/>
          <w:i/>
          <w:szCs w:val="16"/>
        </w:rPr>
        <w:t>.</w:t>
      </w:r>
    </w:p>
  </w:footnote>
  <w:footnote w:id="26">
    <w:p w14:paraId="52A59BE9" w14:textId="77777777" w:rsidR="00B65436" w:rsidRPr="000D6862" w:rsidRDefault="00B65436" w:rsidP="00B65436">
      <w:pPr>
        <w:pStyle w:val="FootnoteText"/>
        <w:rPr>
          <w:rFonts w:cstheme="minorHAnsi"/>
          <w:szCs w:val="16"/>
        </w:rPr>
      </w:pPr>
      <w:r w:rsidRPr="000D6862">
        <w:rPr>
          <w:rStyle w:val="FootnoteReference"/>
          <w:rFonts w:eastAsia="Times" w:cstheme="minorHAnsi"/>
          <w:szCs w:val="16"/>
        </w:rPr>
        <w:footnoteRef/>
      </w:r>
      <w:r w:rsidRPr="000D6862">
        <w:rPr>
          <w:rFonts w:cstheme="minorHAnsi"/>
          <w:szCs w:val="16"/>
        </w:rPr>
        <w:t xml:space="preserve"> As above.</w:t>
      </w:r>
    </w:p>
  </w:footnote>
  <w:footnote w:id="27">
    <w:p w14:paraId="365B0F40" w14:textId="77777777" w:rsidR="00B65436" w:rsidRPr="000D6862" w:rsidRDefault="00B65436" w:rsidP="00B65436">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The Australia Institute 2020, </w:t>
      </w:r>
      <w:hyperlink r:id="rId26" w:history="1">
        <w:r w:rsidRPr="000D6862">
          <w:rPr>
            <w:rStyle w:val="Hyperlink"/>
            <w:rFonts w:cstheme="minorHAnsi"/>
            <w:i/>
            <w:iCs/>
            <w:sz w:val="16"/>
            <w:szCs w:val="16"/>
          </w:rPr>
          <w:t>Polling – Lockdown and the Arts May 2020</w:t>
        </w:r>
      </w:hyperlink>
      <w:r w:rsidRPr="000D6862">
        <w:rPr>
          <w:rFonts w:cstheme="minorHAnsi"/>
          <w:szCs w:val="16"/>
        </w:rPr>
        <w:t>.</w:t>
      </w:r>
    </w:p>
  </w:footnote>
  <w:footnote w:id="28">
    <w:p w14:paraId="5E64E510" w14:textId="77777777" w:rsidR="00B65436" w:rsidRPr="000D6862" w:rsidRDefault="00B65436" w:rsidP="00B65436">
      <w:pPr>
        <w:pStyle w:val="FootnoteText"/>
        <w:rPr>
          <w:rFonts w:cstheme="minorHAnsi"/>
          <w:szCs w:val="16"/>
        </w:rPr>
      </w:pPr>
      <w:r w:rsidRPr="000D6862">
        <w:rPr>
          <w:rStyle w:val="FootnoteReference"/>
          <w:rFonts w:eastAsia="Times" w:cstheme="minorHAnsi"/>
          <w:szCs w:val="16"/>
        </w:rPr>
        <w:footnoteRef/>
      </w:r>
      <w:r w:rsidRPr="000D6862">
        <w:rPr>
          <w:rFonts w:cstheme="minorHAnsi"/>
          <w:szCs w:val="16"/>
        </w:rPr>
        <w:t xml:space="preserve">  Patternmakers 2020, ‘</w:t>
      </w:r>
      <w:hyperlink r:id="rId27" w:history="1">
        <w:r w:rsidRPr="000D6862">
          <w:rPr>
            <w:rStyle w:val="Hyperlink"/>
            <w:rFonts w:cstheme="minorHAnsi"/>
            <w:sz w:val="16"/>
            <w:szCs w:val="16"/>
          </w:rPr>
          <w:t xml:space="preserve">Fact Sheet: Online engagement,’ </w:t>
        </w:r>
        <w:r w:rsidRPr="000D6862">
          <w:rPr>
            <w:rStyle w:val="Hyperlink"/>
            <w:rFonts w:cstheme="minorHAnsi"/>
            <w:i/>
            <w:sz w:val="16"/>
            <w:szCs w:val="16"/>
          </w:rPr>
          <w:t>COVID-19 Audience Outlook Monitor.</w:t>
        </w:r>
      </w:hyperlink>
      <w:r w:rsidRPr="000D6862">
        <w:rPr>
          <w:rFonts w:cstheme="minorHAnsi"/>
          <w:szCs w:val="16"/>
        </w:rPr>
        <w:t xml:space="preserve"> </w:t>
      </w:r>
    </w:p>
  </w:footnote>
  <w:footnote w:id="29">
    <w:p w14:paraId="5FB47658" w14:textId="77777777" w:rsidR="00B65436" w:rsidRPr="000D6862" w:rsidRDefault="00B65436" w:rsidP="00B65436">
      <w:pPr>
        <w:pStyle w:val="FootnoteText"/>
        <w:rPr>
          <w:rFonts w:cstheme="minorHAnsi"/>
          <w:szCs w:val="16"/>
        </w:rPr>
      </w:pPr>
      <w:r w:rsidRPr="000D6862">
        <w:rPr>
          <w:rStyle w:val="FootnoteReference"/>
          <w:rFonts w:eastAsia="Times" w:cstheme="minorHAnsi"/>
          <w:szCs w:val="16"/>
        </w:rPr>
        <w:footnoteRef/>
      </w:r>
      <w:r w:rsidRPr="000D6862">
        <w:rPr>
          <w:rFonts w:cstheme="minorHAnsi"/>
          <w:szCs w:val="16"/>
        </w:rPr>
        <w:t xml:space="preserve"> The other two most popular activities were ‘keeping in touch with family and friends via phone or videoconferencing’ and ‘exercise/backyard activities’. Australia Council 2020, </w:t>
      </w:r>
      <w:hyperlink r:id="rId28" w:history="1">
        <w:r w:rsidRPr="000D6862">
          <w:rPr>
            <w:rStyle w:val="Hyperlink"/>
            <w:rFonts w:cstheme="minorHAnsi"/>
            <w:i/>
            <w:sz w:val="16"/>
            <w:szCs w:val="16"/>
          </w:rPr>
          <w:t>Arts Engagement During the COVID-19 Pandemic</w:t>
        </w:r>
      </w:hyperlink>
      <w:r w:rsidRPr="000D6862">
        <w:rPr>
          <w:rFonts w:cstheme="minorHAnsi"/>
          <w:szCs w:val="16"/>
        </w:rPr>
        <w:t>, based on Lonergan Research’s Omnibus Survey, April 2020.</w:t>
      </w:r>
    </w:p>
  </w:footnote>
  <w:footnote w:id="30">
    <w:p w14:paraId="292CFE83" w14:textId="77777777" w:rsidR="00B65436" w:rsidRPr="000D6862" w:rsidRDefault="00B65436" w:rsidP="00B65436">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Patternmakers 2020, </w:t>
      </w:r>
      <w:hyperlink r:id="rId29" w:history="1">
        <w:r w:rsidRPr="000D6862">
          <w:rPr>
            <w:rStyle w:val="Hyperlink"/>
            <w:rFonts w:cstheme="minorHAnsi"/>
            <w:i/>
            <w:sz w:val="16"/>
            <w:szCs w:val="16"/>
          </w:rPr>
          <w:t>Audience Outlook Monitor: Australia snapshot report, May 2020</w:t>
        </w:r>
      </w:hyperlink>
      <w:r w:rsidRPr="000D6862">
        <w:rPr>
          <w:rFonts w:cstheme="minorHAnsi"/>
          <w:i/>
          <w:szCs w:val="16"/>
        </w:rPr>
        <w:t>.</w:t>
      </w:r>
    </w:p>
  </w:footnote>
  <w:footnote w:id="31">
    <w:p w14:paraId="3E2CBAB0" w14:textId="77777777" w:rsidR="00B65436" w:rsidRPr="000D6862" w:rsidRDefault="00B65436" w:rsidP="00B65436">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Patternmakers 2020, </w:t>
      </w:r>
      <w:hyperlink r:id="rId30" w:history="1">
        <w:r w:rsidRPr="000D6862">
          <w:rPr>
            <w:rStyle w:val="Hyperlink"/>
            <w:rFonts w:cstheme="minorHAnsi"/>
            <w:i/>
            <w:iCs/>
            <w:sz w:val="16"/>
            <w:szCs w:val="16"/>
          </w:rPr>
          <w:t>Audience Outlook Monitor: Australia snapshot report, July 2020</w:t>
        </w:r>
      </w:hyperlink>
      <w:r w:rsidRPr="000D6862">
        <w:rPr>
          <w:rFonts w:cstheme="minorHAnsi"/>
          <w:i/>
          <w:iCs/>
          <w:szCs w:val="16"/>
        </w:rPr>
        <w:t>.</w:t>
      </w:r>
      <w:r w:rsidRPr="000D6862">
        <w:rPr>
          <w:rFonts w:cstheme="minorHAnsi"/>
          <w:szCs w:val="16"/>
        </w:rPr>
        <w:t xml:space="preserve"> </w:t>
      </w:r>
    </w:p>
  </w:footnote>
  <w:footnote w:id="32">
    <w:p w14:paraId="5502B645" w14:textId="77777777" w:rsidR="00B65436" w:rsidRPr="000D6862" w:rsidRDefault="00B65436" w:rsidP="00B65436">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Patternmakers 2020, </w:t>
      </w:r>
      <w:hyperlink r:id="rId31" w:history="1">
        <w:r w:rsidRPr="000D6862">
          <w:rPr>
            <w:rStyle w:val="Hyperlink"/>
            <w:rFonts w:cstheme="minorHAnsi"/>
            <w:i/>
            <w:iCs/>
            <w:sz w:val="16"/>
            <w:szCs w:val="16"/>
          </w:rPr>
          <w:t>Audience Outlook Monitor: Australia snapshot report, September 2020</w:t>
        </w:r>
      </w:hyperlink>
      <w:r w:rsidRPr="000D6862">
        <w:rPr>
          <w:rFonts w:cstheme="minorHAnsi"/>
          <w:szCs w:val="16"/>
        </w:rPr>
        <w:t>.</w:t>
      </w:r>
    </w:p>
  </w:footnote>
  <w:footnote w:id="33">
    <w:p w14:paraId="64176814" w14:textId="77777777" w:rsidR="00B65436" w:rsidRPr="000D6862" w:rsidRDefault="00B65436" w:rsidP="00B65436">
      <w:pPr>
        <w:pStyle w:val="FootnoteText"/>
        <w:rPr>
          <w:rFonts w:cstheme="minorHAnsi"/>
          <w:i/>
          <w:szCs w:val="16"/>
        </w:rPr>
      </w:pPr>
      <w:r w:rsidRPr="000D6862">
        <w:rPr>
          <w:rStyle w:val="FootnoteReference"/>
          <w:rFonts w:cstheme="minorHAnsi"/>
          <w:szCs w:val="16"/>
        </w:rPr>
        <w:footnoteRef/>
      </w:r>
      <w:r w:rsidRPr="000D6862">
        <w:rPr>
          <w:rFonts w:cstheme="minorHAnsi"/>
          <w:szCs w:val="16"/>
        </w:rPr>
        <w:t xml:space="preserve"> However, the proportion is lower in the ACT (19%) and VIC (20%) where cases of the virus had begun rising again during this time. See Patternmakers 2020, </w:t>
      </w:r>
      <w:hyperlink r:id="rId32" w:history="1">
        <w:r w:rsidRPr="000D6862">
          <w:rPr>
            <w:rStyle w:val="Hyperlink"/>
            <w:rFonts w:cstheme="minorHAnsi"/>
            <w:i/>
            <w:iCs/>
            <w:sz w:val="16"/>
            <w:szCs w:val="16"/>
          </w:rPr>
          <w:t>Audience Outlook Monitor: Australia snapshot report, July 2020.</w:t>
        </w:r>
      </w:hyperlink>
    </w:p>
  </w:footnote>
  <w:footnote w:id="34">
    <w:p w14:paraId="7100C07F" w14:textId="77777777" w:rsidR="00B65436" w:rsidRPr="000D6862" w:rsidRDefault="00B65436" w:rsidP="00B65436">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Patternmakers 2020, </w:t>
      </w:r>
      <w:hyperlink r:id="rId33" w:history="1">
        <w:r w:rsidRPr="000D6862">
          <w:rPr>
            <w:rStyle w:val="Hyperlink"/>
            <w:rFonts w:cstheme="minorHAnsi"/>
            <w:i/>
            <w:iCs/>
            <w:sz w:val="16"/>
            <w:szCs w:val="16"/>
          </w:rPr>
          <w:t>Audience Outlook Monitor: Australia snapshot report, September 2020</w:t>
        </w:r>
      </w:hyperlink>
      <w:r w:rsidRPr="000D6862">
        <w:rPr>
          <w:rFonts w:cstheme="minorHAnsi"/>
          <w:szCs w:val="16"/>
        </w:rPr>
        <w:t>.</w:t>
      </w:r>
    </w:p>
  </w:footnote>
  <w:footnote w:id="35">
    <w:p w14:paraId="44E5C44B" w14:textId="77777777" w:rsidR="00B65436" w:rsidRPr="000D6862" w:rsidRDefault="00B65436" w:rsidP="00B65436">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As above. </w:t>
      </w:r>
    </w:p>
  </w:footnote>
  <w:footnote w:id="36">
    <w:p w14:paraId="3DA84A56" w14:textId="77777777" w:rsidR="00B65436" w:rsidRPr="000D6862" w:rsidRDefault="00B65436" w:rsidP="00B65436">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As above.</w:t>
      </w:r>
    </w:p>
  </w:footnote>
  <w:footnote w:id="37">
    <w:p w14:paraId="58DE66A9" w14:textId="7F67EE0B" w:rsidR="002D170B" w:rsidRPr="002D170B" w:rsidRDefault="002D170B">
      <w:pPr>
        <w:pStyle w:val="FootnoteText"/>
        <w:rPr>
          <w:lang w:val="en-AU"/>
        </w:rPr>
      </w:pPr>
      <w:r>
        <w:rPr>
          <w:rStyle w:val="FootnoteReference"/>
        </w:rPr>
        <w:footnoteRef/>
      </w:r>
      <w:r>
        <w:t xml:space="preserve"> </w:t>
      </w:r>
      <w:r w:rsidRPr="000D6862">
        <w:rPr>
          <w:rFonts w:cstheme="minorHAnsi"/>
          <w:szCs w:val="16"/>
        </w:rPr>
        <w:t>As above.</w:t>
      </w:r>
    </w:p>
  </w:footnote>
  <w:footnote w:id="38">
    <w:p w14:paraId="6F1BBC23" w14:textId="23B1A77B" w:rsidR="002D170B" w:rsidRPr="002D170B" w:rsidRDefault="002D170B">
      <w:pPr>
        <w:pStyle w:val="FootnoteText"/>
        <w:rPr>
          <w:lang w:val="en-AU"/>
        </w:rPr>
      </w:pPr>
      <w:r>
        <w:rPr>
          <w:rStyle w:val="FootnoteReference"/>
        </w:rPr>
        <w:footnoteRef/>
      </w:r>
      <w:r>
        <w:t xml:space="preserve"> </w:t>
      </w:r>
      <w:r w:rsidRPr="000D6862">
        <w:rPr>
          <w:rFonts w:cstheme="minorHAnsi"/>
          <w:szCs w:val="16"/>
        </w:rPr>
        <w:t>As above.</w:t>
      </w:r>
    </w:p>
  </w:footnote>
  <w:footnote w:id="39">
    <w:p w14:paraId="4F46C114" w14:textId="77777777" w:rsidR="00B65436" w:rsidRPr="000D6862" w:rsidRDefault="00B65436" w:rsidP="00B65436">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Patternmakers 2020, </w:t>
      </w:r>
      <w:hyperlink r:id="rId34" w:history="1">
        <w:r w:rsidRPr="000D6862">
          <w:rPr>
            <w:rStyle w:val="Hyperlink"/>
            <w:rFonts w:cstheme="minorHAnsi"/>
            <w:i/>
            <w:iCs/>
            <w:sz w:val="16"/>
            <w:szCs w:val="16"/>
          </w:rPr>
          <w:t>Audience Outlook Monitor: Australia snapshot report, September 2020</w:t>
        </w:r>
      </w:hyperlink>
      <w:r w:rsidRPr="000D6862">
        <w:rPr>
          <w:rFonts w:cstheme="minorHAnsi"/>
          <w:szCs w:val="16"/>
        </w:rPr>
        <w:t>.</w:t>
      </w:r>
    </w:p>
  </w:footnote>
  <w:footnote w:id="40">
    <w:p w14:paraId="6869EBD6" w14:textId="77777777" w:rsidR="00B65436" w:rsidRPr="000D6862" w:rsidRDefault="00B65436" w:rsidP="00B65436">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Patternmakers 2021, </w:t>
      </w:r>
      <w:hyperlink r:id="rId35" w:history="1">
        <w:r w:rsidRPr="000D6862">
          <w:rPr>
            <w:rStyle w:val="Hyperlink"/>
            <w:rFonts w:cstheme="minorHAnsi"/>
            <w:i/>
            <w:iCs/>
            <w:sz w:val="16"/>
            <w:szCs w:val="16"/>
          </w:rPr>
          <w:t>Audience Outlook Monitor: Australia snapshot report, March 2021</w:t>
        </w:r>
      </w:hyperlink>
      <w:r w:rsidRPr="000D6862">
        <w:rPr>
          <w:rFonts w:cstheme="minorHAnsi"/>
          <w:szCs w:val="16"/>
        </w:rPr>
        <w:t>.</w:t>
      </w:r>
    </w:p>
  </w:footnote>
  <w:footnote w:id="41">
    <w:p w14:paraId="42896D33" w14:textId="77777777" w:rsidR="00B65436" w:rsidRPr="000D6862" w:rsidRDefault="00B65436" w:rsidP="00B65436">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As above.</w:t>
      </w:r>
    </w:p>
  </w:footnote>
  <w:footnote w:id="42">
    <w:p w14:paraId="2D2F0C0E" w14:textId="77777777" w:rsidR="00B65436" w:rsidRPr="000D6862" w:rsidRDefault="00B65436" w:rsidP="00B65436">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Patternmakers 2021, </w:t>
      </w:r>
      <w:hyperlink r:id="rId36" w:history="1">
        <w:r w:rsidRPr="000D6862">
          <w:rPr>
            <w:rStyle w:val="Hyperlink"/>
            <w:rFonts w:cstheme="minorHAnsi"/>
            <w:i/>
            <w:iCs/>
            <w:sz w:val="16"/>
            <w:szCs w:val="16"/>
          </w:rPr>
          <w:t>Fact Sheet: Reaching Audiences at Home</w:t>
        </w:r>
      </w:hyperlink>
      <w:r w:rsidRPr="000D6862">
        <w:rPr>
          <w:rFonts w:cstheme="minorHAnsi"/>
          <w:szCs w:val="16"/>
        </w:rPr>
        <w:t>.</w:t>
      </w:r>
    </w:p>
  </w:footnote>
  <w:footnote w:id="43">
    <w:p w14:paraId="00EE365A" w14:textId="77777777" w:rsidR="00B65436" w:rsidRPr="000D6862" w:rsidRDefault="00B65436" w:rsidP="00B65436">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Patternmakers 2021, </w:t>
      </w:r>
      <w:hyperlink r:id="rId37" w:history="1">
        <w:r w:rsidRPr="000D6862">
          <w:rPr>
            <w:rStyle w:val="Hyperlink"/>
            <w:rFonts w:cstheme="minorHAnsi"/>
            <w:i/>
            <w:iCs/>
            <w:sz w:val="16"/>
            <w:szCs w:val="16"/>
          </w:rPr>
          <w:t>Audience Outlook Monitor: Australia snapshot report, July 2021</w:t>
        </w:r>
      </w:hyperlink>
      <w:r w:rsidRPr="000D6862">
        <w:rPr>
          <w:rFonts w:cstheme="minorHAnsi"/>
          <w:szCs w:val="16"/>
        </w:rPr>
        <w:t>.</w:t>
      </w:r>
    </w:p>
  </w:footnote>
  <w:footnote w:id="44">
    <w:p w14:paraId="4DA7D630" w14:textId="77777777" w:rsidR="00B65436" w:rsidRPr="000D6862" w:rsidRDefault="00B65436" w:rsidP="00B65436">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Patternmakers 2021, </w:t>
      </w:r>
      <w:hyperlink r:id="rId38" w:history="1">
        <w:r w:rsidRPr="000D6862">
          <w:rPr>
            <w:rStyle w:val="Hyperlink"/>
            <w:rFonts w:cstheme="minorHAnsi"/>
            <w:i/>
            <w:iCs/>
            <w:sz w:val="16"/>
            <w:szCs w:val="16"/>
          </w:rPr>
          <w:t>Audience Outlook Monitor: Australia snapshot report, July 2021</w:t>
        </w:r>
      </w:hyperlink>
      <w:r w:rsidRPr="000D6862">
        <w:rPr>
          <w:rFonts w:eastAsia="Times New Roman" w:cstheme="minorHAnsi"/>
          <w:i/>
          <w:iCs/>
          <w:szCs w:val="16"/>
          <w:lang w:eastAsia="en-AU"/>
        </w:rPr>
        <w:t>.</w:t>
      </w:r>
    </w:p>
  </w:footnote>
  <w:footnote w:id="45">
    <w:p w14:paraId="3AD0D1D2" w14:textId="77777777" w:rsidR="00B65436" w:rsidRPr="000D6862" w:rsidRDefault="00B65436" w:rsidP="00B65436">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Patternmakers 2021, </w:t>
      </w:r>
      <w:hyperlink r:id="rId39" w:history="1">
        <w:r w:rsidRPr="000D6862">
          <w:rPr>
            <w:rStyle w:val="Hyperlink"/>
            <w:rFonts w:cstheme="minorHAnsi"/>
            <w:i/>
            <w:sz w:val="16"/>
            <w:szCs w:val="16"/>
          </w:rPr>
          <w:t>Audience Outlook Monitor: Australia snapshot report, November 2021</w:t>
        </w:r>
      </w:hyperlink>
      <w:r w:rsidRPr="000D6862">
        <w:rPr>
          <w:rFonts w:eastAsia="Times New Roman" w:cstheme="minorHAnsi"/>
          <w:szCs w:val="16"/>
          <w:lang w:eastAsia="en-AU"/>
        </w:rPr>
        <w:t>.</w:t>
      </w:r>
    </w:p>
  </w:footnote>
  <w:footnote w:id="46">
    <w:p w14:paraId="780E372F" w14:textId="77777777" w:rsidR="00B65436" w:rsidRPr="000D6862" w:rsidRDefault="00B65436" w:rsidP="00B65436">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w:t>
      </w:r>
      <w:r w:rsidRPr="000D6862">
        <w:rPr>
          <w:rFonts w:eastAsia="Times New Roman" w:cstheme="minorHAnsi"/>
          <w:szCs w:val="16"/>
          <w:lang w:eastAsia="en-AU"/>
        </w:rPr>
        <w:t>As above.</w:t>
      </w:r>
    </w:p>
  </w:footnote>
  <w:footnote w:id="47">
    <w:p w14:paraId="5467F45E" w14:textId="77777777" w:rsidR="00B65436" w:rsidRPr="000D6862" w:rsidRDefault="00B65436" w:rsidP="00B65436">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w:t>
      </w:r>
      <w:r w:rsidRPr="000D6862">
        <w:rPr>
          <w:rFonts w:eastAsia="Times New Roman" w:cstheme="minorHAnsi"/>
          <w:szCs w:val="16"/>
          <w:lang w:eastAsia="en-AU"/>
        </w:rPr>
        <w:t>As above.</w:t>
      </w:r>
    </w:p>
  </w:footnote>
  <w:footnote w:id="48">
    <w:p w14:paraId="3316A260" w14:textId="77777777" w:rsidR="00B65436" w:rsidRPr="000D6862" w:rsidRDefault="00B65436" w:rsidP="00B65436">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w:t>
      </w:r>
      <w:r w:rsidRPr="000D6862">
        <w:rPr>
          <w:rFonts w:eastAsia="Times New Roman" w:cstheme="minorHAnsi"/>
          <w:szCs w:val="16"/>
          <w:lang w:eastAsia="en-AU"/>
        </w:rPr>
        <w:t>As above.</w:t>
      </w:r>
    </w:p>
  </w:footnote>
  <w:footnote w:id="49">
    <w:p w14:paraId="066009C1" w14:textId="77777777" w:rsidR="00B65436" w:rsidRPr="000D6862" w:rsidRDefault="00B65436" w:rsidP="00B65436">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Lei, C 2022, </w:t>
      </w:r>
      <w:hyperlink r:id="rId40" w:history="1">
        <w:r w:rsidRPr="000D6862">
          <w:rPr>
            <w:rStyle w:val="Hyperlink"/>
            <w:rFonts w:cstheme="minorHAnsi"/>
            <w:sz w:val="16"/>
            <w:szCs w:val="16"/>
          </w:rPr>
          <w:t>Audience Hesitancy is Omicron’s New Curse</w:t>
        </w:r>
      </w:hyperlink>
      <w:r w:rsidRPr="000D6862">
        <w:rPr>
          <w:rFonts w:cstheme="minorHAnsi"/>
          <w:szCs w:val="16"/>
        </w:rPr>
        <w:t xml:space="preserve">, </w:t>
      </w:r>
      <w:r w:rsidRPr="000D6862">
        <w:rPr>
          <w:rFonts w:cstheme="minorHAnsi"/>
          <w:i/>
          <w:szCs w:val="16"/>
        </w:rPr>
        <w:t>ArtsHub</w:t>
      </w:r>
      <w:r w:rsidRPr="000D6862">
        <w:rPr>
          <w:rFonts w:cstheme="minorHAnsi"/>
          <w:szCs w:val="16"/>
        </w:rPr>
        <w:t>.</w:t>
      </w:r>
    </w:p>
  </w:footnote>
  <w:footnote w:id="50">
    <w:p w14:paraId="2D62F287" w14:textId="77777777" w:rsidR="00B65436" w:rsidRPr="000D6862" w:rsidRDefault="00B65436" w:rsidP="00B65436">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Burke K 2021, </w:t>
      </w:r>
      <w:hyperlink r:id="rId41" w:history="1">
        <w:r w:rsidRPr="000D6862">
          <w:rPr>
            <w:rStyle w:val="Hyperlink"/>
            <w:rFonts w:cstheme="minorHAnsi"/>
            <w:sz w:val="16"/>
            <w:szCs w:val="16"/>
          </w:rPr>
          <w:t>'Absolutely Heartbroken’: Event cancellations return to devastate Australia’s music industry</w:t>
        </w:r>
      </w:hyperlink>
      <w:r w:rsidRPr="000D6862">
        <w:rPr>
          <w:rFonts w:cstheme="minorHAnsi"/>
          <w:szCs w:val="16"/>
        </w:rPr>
        <w:t xml:space="preserve">, </w:t>
      </w:r>
      <w:r w:rsidRPr="000D6862">
        <w:rPr>
          <w:rFonts w:cstheme="minorHAnsi"/>
          <w:i/>
          <w:szCs w:val="16"/>
        </w:rPr>
        <w:t>The Guardian</w:t>
      </w:r>
      <w:r w:rsidRPr="000D6862">
        <w:rPr>
          <w:rFonts w:cstheme="minorHAnsi"/>
          <w:szCs w:val="16"/>
        </w:rPr>
        <w:t>.</w:t>
      </w:r>
    </w:p>
  </w:footnote>
  <w:footnote w:id="51">
    <w:p w14:paraId="47FEEE79" w14:textId="77777777" w:rsidR="00B65436" w:rsidRPr="000D6862" w:rsidRDefault="00B65436" w:rsidP="00B65436">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Australia Council 2022, </w:t>
      </w:r>
      <w:hyperlink r:id="rId42" w:history="1">
        <w:r w:rsidRPr="000D6862">
          <w:rPr>
            <w:rStyle w:val="Hyperlink"/>
            <w:rFonts w:cstheme="minorHAnsi"/>
            <w:i/>
            <w:iCs/>
            <w:sz w:val="16"/>
            <w:szCs w:val="16"/>
          </w:rPr>
          <w:t>Electorate Profiles</w:t>
        </w:r>
      </w:hyperlink>
      <w:r w:rsidRPr="000D6862">
        <w:rPr>
          <w:rFonts w:cstheme="minorHAnsi"/>
          <w:szCs w:val="16"/>
        </w:rPr>
        <w:t xml:space="preserve">. </w:t>
      </w:r>
    </w:p>
  </w:footnote>
  <w:footnote w:id="52">
    <w:p w14:paraId="1A0F7219" w14:textId="77777777" w:rsidR="00B65436" w:rsidRPr="000D6862" w:rsidRDefault="00B65436" w:rsidP="00B65436">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Patternmakers 2022, </w:t>
      </w:r>
      <w:hyperlink r:id="rId43" w:history="1">
        <w:r w:rsidRPr="000D6862">
          <w:rPr>
            <w:rStyle w:val="Hyperlink"/>
            <w:rFonts w:cstheme="minorHAnsi"/>
            <w:i/>
            <w:iCs/>
            <w:sz w:val="16"/>
            <w:szCs w:val="16"/>
          </w:rPr>
          <w:t>Audience Outlook Monitor: Australia snapshot report, March 2022</w:t>
        </w:r>
      </w:hyperlink>
      <w:r w:rsidRPr="000D6862">
        <w:rPr>
          <w:rFonts w:eastAsia="Times New Roman" w:cstheme="minorHAnsi"/>
          <w:i/>
          <w:iCs/>
          <w:szCs w:val="16"/>
          <w:lang w:eastAsia="en-AU"/>
        </w:rPr>
        <w:t>.</w:t>
      </w:r>
    </w:p>
  </w:footnote>
  <w:footnote w:id="53">
    <w:p w14:paraId="5D98F043" w14:textId="77777777" w:rsidR="00B65436" w:rsidRPr="000D6862" w:rsidRDefault="00B65436" w:rsidP="00B65436">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As above.</w:t>
      </w:r>
    </w:p>
  </w:footnote>
  <w:footnote w:id="54">
    <w:p w14:paraId="4F46299C" w14:textId="77777777" w:rsidR="00B65436" w:rsidRPr="000D6862" w:rsidRDefault="00B65436" w:rsidP="00B65436">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As above.</w:t>
      </w:r>
    </w:p>
  </w:footnote>
  <w:footnote w:id="55">
    <w:p w14:paraId="51B71565" w14:textId="77777777" w:rsidR="00B65436" w:rsidRPr="000D6862" w:rsidRDefault="00B65436" w:rsidP="00B65436">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As above.</w:t>
      </w:r>
    </w:p>
  </w:footnote>
  <w:footnote w:id="56">
    <w:p w14:paraId="77BCA7B8" w14:textId="77777777" w:rsidR="00B65436" w:rsidRPr="000D6862" w:rsidRDefault="00B65436" w:rsidP="00B65436">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Patternmakers 2022, </w:t>
      </w:r>
      <w:hyperlink r:id="rId44" w:history="1">
        <w:r w:rsidRPr="000D6862">
          <w:rPr>
            <w:rStyle w:val="Hyperlink"/>
            <w:rFonts w:cstheme="minorHAnsi"/>
            <w:i/>
            <w:iCs/>
            <w:sz w:val="16"/>
            <w:szCs w:val="16"/>
          </w:rPr>
          <w:t>Audience Outlook Monitor: Australia snapshot report, March 2022</w:t>
        </w:r>
      </w:hyperlink>
      <w:r w:rsidRPr="000D6862">
        <w:rPr>
          <w:rFonts w:eastAsia="Times New Roman" w:cstheme="minorHAnsi"/>
          <w:i/>
          <w:iCs/>
          <w:szCs w:val="16"/>
          <w:lang w:eastAsia="en-AU"/>
        </w:rPr>
        <w:t>.</w:t>
      </w:r>
    </w:p>
  </w:footnote>
  <w:footnote w:id="57">
    <w:p w14:paraId="1B7B2A7E" w14:textId="77777777" w:rsidR="00B65436" w:rsidRPr="000D6862" w:rsidRDefault="00B65436" w:rsidP="00B65436">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Patternmakers 2021, </w:t>
      </w:r>
      <w:hyperlink r:id="rId45" w:history="1">
        <w:r w:rsidRPr="000D6862">
          <w:rPr>
            <w:rStyle w:val="Hyperlink"/>
            <w:rFonts w:cstheme="minorHAnsi"/>
            <w:i/>
            <w:sz w:val="16"/>
            <w:szCs w:val="16"/>
          </w:rPr>
          <w:t>Audience Outlook Monitor: Australia snapshot report, November 2021</w:t>
        </w:r>
      </w:hyperlink>
      <w:r w:rsidRPr="000D6862">
        <w:rPr>
          <w:rFonts w:eastAsia="Times New Roman" w:cstheme="minorHAnsi"/>
          <w:szCs w:val="16"/>
          <w:lang w:eastAsia="en-AU"/>
        </w:rPr>
        <w:t>.</w:t>
      </w:r>
    </w:p>
  </w:footnote>
  <w:footnote w:id="58">
    <w:p w14:paraId="5F19E5EF" w14:textId="77777777" w:rsidR="00B65436" w:rsidRPr="000D6862" w:rsidRDefault="00B65436" w:rsidP="00B65436">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The </w:t>
      </w:r>
      <w:r w:rsidRPr="000D6862">
        <w:rPr>
          <w:rFonts w:cstheme="minorHAnsi"/>
          <w:bCs/>
          <w:szCs w:val="16"/>
        </w:rPr>
        <w:t>Audience Outlook Monitor is continuing in 2022</w:t>
      </w:r>
      <w:r w:rsidRPr="000D6862">
        <w:rPr>
          <w:rFonts w:cstheme="minorHAnsi"/>
          <w:szCs w:val="16"/>
        </w:rPr>
        <w:t>. Two full rounds of data collection and one shorter ‘pulse check’ will be delivered flexibly during the year to respond to changing conditions.</w:t>
      </w:r>
    </w:p>
  </w:footnote>
  <w:footnote w:id="59">
    <w:p w14:paraId="1F85E854" w14:textId="77777777" w:rsidR="00D242A5" w:rsidRPr="000D6862" w:rsidRDefault="00D242A5" w:rsidP="00D242A5">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Based on 2017–18 data. Bureau of Communications, Arts and Regional Research (BCARR) 2020, </w:t>
      </w:r>
      <w:hyperlink r:id="rId46" w:history="1">
        <w:r w:rsidRPr="000D6862">
          <w:rPr>
            <w:rStyle w:val="Hyperlink"/>
            <w:rFonts w:cstheme="minorHAnsi"/>
            <w:i/>
            <w:iCs/>
            <w:sz w:val="16"/>
            <w:szCs w:val="16"/>
          </w:rPr>
          <w:t>Cultural and creative activity in Australia: 2008–09 to 2017–18</w:t>
        </w:r>
      </w:hyperlink>
      <w:r w:rsidRPr="000D6862">
        <w:rPr>
          <w:rFonts w:cstheme="minorHAnsi"/>
          <w:i/>
          <w:iCs/>
          <w:szCs w:val="16"/>
        </w:rPr>
        <w:t>.</w:t>
      </w:r>
    </w:p>
  </w:footnote>
  <w:footnote w:id="60">
    <w:p w14:paraId="6F2EA4CC" w14:textId="77777777" w:rsidR="00D242A5" w:rsidRPr="000D6862" w:rsidRDefault="00D242A5" w:rsidP="00D242A5">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Based on Gross Value Added (GVA), a measure that enables cross-industry comparisons by removing the distortion caused by taxes and subsidies. BCARR 2020, </w:t>
      </w:r>
      <w:hyperlink r:id="rId47" w:history="1">
        <w:r w:rsidRPr="000D6862">
          <w:rPr>
            <w:rStyle w:val="Hyperlink"/>
            <w:rFonts w:cstheme="minorHAnsi"/>
            <w:i/>
            <w:sz w:val="16"/>
            <w:szCs w:val="16"/>
          </w:rPr>
          <w:t>Cultural and creative activity in Australia: 2008–09 to 2017–18</w:t>
        </w:r>
      </w:hyperlink>
      <w:r w:rsidRPr="000D6862">
        <w:rPr>
          <w:rFonts w:cstheme="minorHAnsi"/>
          <w:i/>
          <w:szCs w:val="16"/>
        </w:rPr>
        <w:t>.</w:t>
      </w:r>
    </w:p>
  </w:footnote>
  <w:footnote w:id="61">
    <w:p w14:paraId="6B750E7B" w14:textId="77777777" w:rsidR="00D242A5" w:rsidRPr="000D6862" w:rsidRDefault="00D242A5" w:rsidP="00D242A5">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Australia Council 2020, </w:t>
      </w:r>
      <w:hyperlink r:id="rId48" w:history="1">
        <w:r w:rsidRPr="000D6862">
          <w:rPr>
            <w:rStyle w:val="Hyperlink"/>
            <w:rFonts w:cstheme="minorHAnsi"/>
            <w:i/>
            <w:sz w:val="16"/>
            <w:szCs w:val="16"/>
          </w:rPr>
          <w:t>Creating Our Future: Spotlight on economic value and future success.</w:t>
        </w:r>
      </w:hyperlink>
    </w:p>
  </w:footnote>
  <w:footnote w:id="62">
    <w:p w14:paraId="04B985F0" w14:textId="77777777" w:rsidR="00D242A5" w:rsidRPr="000D6862" w:rsidRDefault="00D242A5" w:rsidP="00D242A5">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Australia Council 2018, </w:t>
      </w:r>
      <w:hyperlink r:id="rId49" w:history="1">
        <w:r w:rsidRPr="000D6862">
          <w:rPr>
            <w:rStyle w:val="Hyperlink"/>
            <w:rFonts w:cstheme="minorHAnsi"/>
            <w:i/>
            <w:sz w:val="16"/>
            <w:szCs w:val="16"/>
          </w:rPr>
          <w:t>International Arts Tourism: Connecting Cultures.</w:t>
        </w:r>
      </w:hyperlink>
    </w:p>
  </w:footnote>
  <w:footnote w:id="63">
    <w:p w14:paraId="5C540866" w14:textId="77777777" w:rsidR="00D242A5" w:rsidRPr="000D6862" w:rsidRDefault="00D242A5" w:rsidP="00D242A5">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Meeting of Culture Ministers 2019, </w:t>
      </w:r>
      <w:hyperlink r:id="rId50" w:history="1">
        <w:r w:rsidRPr="000D6862">
          <w:rPr>
            <w:rStyle w:val="Hyperlink"/>
            <w:rFonts w:cstheme="minorHAnsi"/>
            <w:sz w:val="16"/>
            <w:szCs w:val="16"/>
          </w:rPr>
          <w:t>Cultural Funding and Participation Australia 2019, Employment in Culture</w:t>
        </w:r>
      </w:hyperlink>
      <w:r w:rsidRPr="000D6862">
        <w:rPr>
          <w:rFonts w:cstheme="minorHAnsi"/>
          <w:szCs w:val="16"/>
        </w:rPr>
        <w:t xml:space="preserve">.  </w:t>
      </w:r>
    </w:p>
  </w:footnote>
  <w:footnote w:id="64">
    <w:p w14:paraId="1ED32472" w14:textId="77777777" w:rsidR="00D242A5" w:rsidRPr="000D6862" w:rsidRDefault="00D242A5" w:rsidP="00D242A5">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ABS 2019, </w:t>
      </w:r>
      <w:hyperlink r:id="rId51" w:history="1">
        <w:r w:rsidRPr="000D6862">
          <w:rPr>
            <w:rStyle w:val="Hyperlink"/>
            <w:rFonts w:cstheme="minorHAnsi"/>
            <w:i/>
            <w:sz w:val="16"/>
            <w:szCs w:val="16"/>
          </w:rPr>
          <w:t>Australian Industry, 2017–18</w:t>
        </w:r>
      </w:hyperlink>
      <w:r w:rsidRPr="000D6862">
        <w:rPr>
          <w:rFonts w:cstheme="minorHAnsi"/>
          <w:szCs w:val="16"/>
        </w:rPr>
        <w:t>.</w:t>
      </w:r>
    </w:p>
  </w:footnote>
  <w:footnote w:id="65">
    <w:p w14:paraId="2529F8C4" w14:textId="77777777" w:rsidR="00D242A5" w:rsidRPr="000D6862" w:rsidRDefault="00D242A5" w:rsidP="00D242A5">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Meeting of Culture Ministers 2019, </w:t>
      </w:r>
      <w:hyperlink r:id="rId52" w:history="1">
        <w:r w:rsidRPr="000D6862">
          <w:rPr>
            <w:rStyle w:val="Hyperlink"/>
            <w:rFonts w:cstheme="minorHAnsi"/>
            <w:sz w:val="16"/>
            <w:szCs w:val="16"/>
          </w:rPr>
          <w:t>Cultural Funding and Participation Australia 2019, Employment in Culture</w:t>
        </w:r>
      </w:hyperlink>
      <w:r w:rsidRPr="000D6862">
        <w:rPr>
          <w:rFonts w:cstheme="minorHAnsi"/>
          <w:szCs w:val="16"/>
        </w:rPr>
        <w:t xml:space="preserve">. Based on Census data, this measurement captures ‘main jobs’, missing multiple jobholders who are a prominent feature of creative work: see Australia Council 2017, </w:t>
      </w:r>
      <w:hyperlink r:id="rId53" w:history="1">
        <w:r w:rsidRPr="000D6862">
          <w:rPr>
            <w:rStyle w:val="Hyperlink"/>
            <w:rFonts w:cstheme="minorHAnsi"/>
            <w:i/>
            <w:sz w:val="16"/>
            <w:szCs w:val="16"/>
          </w:rPr>
          <w:t>Making Art Work: A summary and response by the Australia Council for the Arts</w:t>
        </w:r>
      </w:hyperlink>
      <w:r w:rsidRPr="000D6862">
        <w:rPr>
          <w:rFonts w:cstheme="minorHAnsi"/>
          <w:szCs w:val="16"/>
        </w:rPr>
        <w:t>.</w:t>
      </w:r>
    </w:p>
  </w:footnote>
  <w:footnote w:id="66">
    <w:p w14:paraId="56393864" w14:textId="77777777" w:rsidR="00D242A5" w:rsidRPr="000D6862" w:rsidRDefault="00D242A5" w:rsidP="00D242A5">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BCAR 2020, </w:t>
      </w:r>
      <w:hyperlink r:id="rId54" w:history="1">
        <w:r w:rsidRPr="000D6862">
          <w:rPr>
            <w:rStyle w:val="Hyperlink"/>
            <w:rFonts w:cstheme="minorHAnsi"/>
            <w:i/>
            <w:iCs/>
            <w:sz w:val="16"/>
            <w:szCs w:val="16"/>
          </w:rPr>
          <w:t>Characteristics of Employment and Business Activity in Cultural and Creative Sectors</w:t>
        </w:r>
      </w:hyperlink>
      <w:r w:rsidRPr="000D6862">
        <w:rPr>
          <w:rFonts w:cstheme="minorHAnsi"/>
          <w:i/>
          <w:iCs/>
          <w:szCs w:val="16"/>
        </w:rPr>
        <w:t>.</w:t>
      </w:r>
    </w:p>
  </w:footnote>
  <w:footnote w:id="67">
    <w:p w14:paraId="6AC52B51" w14:textId="77777777" w:rsidR="007856BE" w:rsidRPr="000D6862" w:rsidRDefault="007856BE" w:rsidP="007856BE">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Note, ABS’s classification of the ‘arts and recreation’ businesses/services is extremely diverse and expands beyond the cultural and creative industries. Any mention to ‘arts and recreation businesses’ or ‘arts and recreation services’ refers to this broad group of activity. This activity includes heritage activities, creative and performing arts activities, sports and recreation activities and gambling activities.</w:t>
      </w:r>
    </w:p>
  </w:footnote>
  <w:footnote w:id="68">
    <w:p w14:paraId="291BB0DF" w14:textId="77777777" w:rsidR="007856BE" w:rsidRPr="000D6862" w:rsidRDefault="007856BE" w:rsidP="007856BE">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Monthly cross-industry surveys conducted by the ABS throughout 2020 and 2021.</w:t>
      </w:r>
    </w:p>
  </w:footnote>
  <w:footnote w:id="69">
    <w:p w14:paraId="265D2AF6" w14:textId="77777777" w:rsidR="007856BE" w:rsidRPr="000D6862" w:rsidRDefault="007856BE" w:rsidP="007856BE">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ABS 2020, </w:t>
      </w:r>
      <w:hyperlink r:id="rId55" w:history="1">
        <w:r w:rsidRPr="000D6862">
          <w:rPr>
            <w:rStyle w:val="Hyperlink"/>
            <w:rFonts w:cstheme="minorHAnsi"/>
            <w:sz w:val="16"/>
            <w:szCs w:val="16"/>
          </w:rPr>
          <w:t>Business Conditions and Sentiments April</w:t>
        </w:r>
      </w:hyperlink>
      <w:r w:rsidRPr="000D6862">
        <w:rPr>
          <w:rFonts w:cstheme="minorHAnsi"/>
          <w:szCs w:val="16"/>
        </w:rPr>
        <w:t xml:space="preserve">. </w:t>
      </w:r>
    </w:p>
  </w:footnote>
  <w:footnote w:id="70">
    <w:p w14:paraId="5F45F1F0" w14:textId="77777777" w:rsidR="007856BE" w:rsidRPr="000D6862" w:rsidRDefault="007856BE" w:rsidP="007856BE">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Culture Counts 2020, </w:t>
      </w:r>
      <w:hyperlink r:id="rId56" w:history="1">
        <w:r w:rsidRPr="000D6862">
          <w:rPr>
            <w:rStyle w:val="Hyperlink"/>
            <w:rFonts w:cstheme="minorHAnsi"/>
            <w:i/>
            <w:sz w:val="16"/>
            <w:szCs w:val="16"/>
          </w:rPr>
          <w:t>COVID-19 Impact on Cultural Industries: April snapshot</w:t>
        </w:r>
      </w:hyperlink>
      <w:r w:rsidRPr="000D6862">
        <w:rPr>
          <w:rFonts w:cstheme="minorHAnsi"/>
          <w:i/>
          <w:szCs w:val="16"/>
        </w:rPr>
        <w:t>.</w:t>
      </w:r>
    </w:p>
  </w:footnote>
  <w:footnote w:id="71">
    <w:p w14:paraId="195F6479" w14:textId="77777777" w:rsidR="007856BE" w:rsidRPr="000D6862" w:rsidRDefault="007856BE" w:rsidP="007856BE">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ABS 2020, </w:t>
      </w:r>
      <w:hyperlink r:id="rId57" w:history="1">
        <w:r w:rsidRPr="000D6862">
          <w:rPr>
            <w:rStyle w:val="Hyperlink"/>
            <w:rFonts w:cstheme="minorHAnsi"/>
            <w:i/>
            <w:sz w:val="16"/>
            <w:szCs w:val="16"/>
          </w:rPr>
          <w:t>Business Indicators, Business Impacts of COVID-19, Week Commencing 19 April 2020</w:t>
        </w:r>
      </w:hyperlink>
      <w:r w:rsidRPr="000D6862">
        <w:rPr>
          <w:rFonts w:cstheme="minorHAnsi"/>
          <w:i/>
          <w:szCs w:val="16"/>
        </w:rPr>
        <w:t>.</w:t>
      </w:r>
    </w:p>
  </w:footnote>
  <w:footnote w:id="72">
    <w:p w14:paraId="7B9E3917" w14:textId="77777777" w:rsidR="007856BE" w:rsidRPr="000D6862" w:rsidRDefault="007856BE" w:rsidP="007856BE">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ABS 2020, </w:t>
      </w:r>
      <w:hyperlink r:id="rId58" w:history="1">
        <w:r w:rsidRPr="000D6862">
          <w:rPr>
            <w:rStyle w:val="Hyperlink"/>
            <w:rFonts w:cstheme="minorHAnsi"/>
            <w:sz w:val="16"/>
            <w:szCs w:val="16"/>
          </w:rPr>
          <w:t>Weekly Payroll Jobs and Wages in Australia, Week ending 2 May 2020</w:t>
        </w:r>
      </w:hyperlink>
      <w:r w:rsidRPr="000D6862">
        <w:rPr>
          <w:rFonts w:cstheme="minorHAnsi"/>
          <w:szCs w:val="16"/>
        </w:rPr>
        <w:t>.</w:t>
      </w:r>
    </w:p>
  </w:footnote>
  <w:footnote w:id="73">
    <w:p w14:paraId="00011DF9" w14:textId="77777777" w:rsidR="007856BE" w:rsidRPr="000D6862" w:rsidRDefault="007856BE" w:rsidP="007856BE">
      <w:pPr>
        <w:pStyle w:val="FootnoteText"/>
        <w:rPr>
          <w:rFonts w:cstheme="minorHAnsi"/>
          <w:i/>
          <w:szCs w:val="16"/>
        </w:rPr>
      </w:pPr>
      <w:r w:rsidRPr="000D6862">
        <w:rPr>
          <w:rStyle w:val="FootnoteReference"/>
          <w:rFonts w:cstheme="minorHAnsi"/>
          <w:szCs w:val="16"/>
        </w:rPr>
        <w:footnoteRef/>
      </w:r>
      <w:r w:rsidRPr="000D6862">
        <w:rPr>
          <w:rFonts w:cstheme="minorHAnsi"/>
          <w:szCs w:val="16"/>
        </w:rPr>
        <w:t xml:space="preserve"> See Australia Council 2020, </w:t>
      </w:r>
      <w:hyperlink r:id="rId59" w:history="1">
        <w:r w:rsidRPr="000D6862">
          <w:rPr>
            <w:rStyle w:val="Hyperlink"/>
            <w:rFonts w:cstheme="minorHAnsi"/>
            <w:i/>
            <w:sz w:val="16"/>
            <w:szCs w:val="16"/>
          </w:rPr>
          <w:t>Summary of Covid-19 Impact Surveys (Last Updated 6 April 2020).</w:t>
        </w:r>
      </w:hyperlink>
      <w:r w:rsidRPr="000D6862">
        <w:rPr>
          <w:rFonts w:cstheme="minorHAnsi"/>
          <w:i/>
          <w:szCs w:val="16"/>
        </w:rPr>
        <w:t xml:space="preserve"> </w:t>
      </w:r>
    </w:p>
  </w:footnote>
  <w:footnote w:id="74">
    <w:p w14:paraId="45E77B40" w14:textId="4A791F8B" w:rsidR="007856BE" w:rsidRPr="000D6862" w:rsidRDefault="007856BE" w:rsidP="007856BE">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See </w:t>
      </w:r>
      <w:hyperlink r:id="rId60" w:history="1">
        <w:r w:rsidR="00392807" w:rsidRPr="000D6862">
          <w:rPr>
            <w:rStyle w:val="Hyperlink"/>
            <w:rFonts w:cstheme="minorHAnsi"/>
            <w:sz w:val="16"/>
            <w:szCs w:val="16"/>
          </w:rPr>
          <w:t>I Lost My Gig Australia</w:t>
        </w:r>
      </w:hyperlink>
      <w:r w:rsidRPr="000D6862">
        <w:rPr>
          <w:rFonts w:cstheme="minorHAnsi"/>
          <w:szCs w:val="16"/>
        </w:rPr>
        <w:t xml:space="preserve">. </w:t>
      </w:r>
    </w:p>
  </w:footnote>
  <w:footnote w:id="75">
    <w:p w14:paraId="2A6CD6A1" w14:textId="77777777" w:rsidR="00663A28" w:rsidRPr="000D6862" w:rsidRDefault="00663A28" w:rsidP="00663A28">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The Australia Council will soon publish an updated dedicated paper on the impacts of COVID-19 on First Nations arts and culture.</w:t>
      </w:r>
    </w:p>
  </w:footnote>
  <w:footnote w:id="76">
    <w:p w14:paraId="2C72A1B3" w14:textId="77777777" w:rsidR="00663A28" w:rsidRPr="000D6862" w:rsidRDefault="00663A28" w:rsidP="00663A28">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w:t>
      </w:r>
      <w:r w:rsidRPr="000D6862">
        <w:rPr>
          <w:rFonts w:cstheme="minorHAnsi"/>
          <w:color w:val="000000"/>
          <w:szCs w:val="16"/>
        </w:rPr>
        <w:t xml:space="preserve">Desart 2020, </w:t>
      </w:r>
      <w:hyperlink r:id="rId61" w:history="1">
        <w:r w:rsidRPr="000D6862">
          <w:rPr>
            <w:rStyle w:val="Hyperlink"/>
            <w:rFonts w:cstheme="minorHAnsi"/>
            <w:i/>
            <w:sz w:val="16"/>
            <w:szCs w:val="16"/>
          </w:rPr>
          <w:t>Art Centres and COVID19 Impact Statement. 16 March – 30 June 2020</w:t>
        </w:r>
      </w:hyperlink>
      <w:r w:rsidRPr="000D6862">
        <w:rPr>
          <w:rFonts w:cstheme="minorHAnsi"/>
          <w:color w:val="000000"/>
          <w:szCs w:val="16"/>
        </w:rPr>
        <w:t xml:space="preserve">. Desart 2020, </w:t>
      </w:r>
      <w:hyperlink r:id="rId62" w:history="1">
        <w:r w:rsidRPr="000D6862">
          <w:rPr>
            <w:rStyle w:val="Hyperlink"/>
            <w:rFonts w:cstheme="minorHAnsi"/>
            <w:i/>
            <w:sz w:val="16"/>
            <w:szCs w:val="16"/>
          </w:rPr>
          <w:t>Art Centres and COVID-19: An update on the pandemic’s ongoing impact. 1 July – 31 December 2020</w:t>
        </w:r>
      </w:hyperlink>
      <w:r w:rsidRPr="000D6862">
        <w:rPr>
          <w:rFonts w:cstheme="minorHAnsi"/>
          <w:i/>
          <w:iCs/>
          <w:color w:val="000000"/>
          <w:szCs w:val="16"/>
        </w:rPr>
        <w:t>.</w:t>
      </w:r>
    </w:p>
  </w:footnote>
  <w:footnote w:id="77">
    <w:p w14:paraId="44B2273E" w14:textId="77777777" w:rsidR="00663A28" w:rsidRPr="000D6862" w:rsidRDefault="00663A28" w:rsidP="00663A28">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w:t>
      </w:r>
      <w:r w:rsidRPr="000D6862">
        <w:rPr>
          <w:rFonts w:cstheme="minorHAnsi"/>
          <w:color w:val="000000"/>
          <w:szCs w:val="16"/>
        </w:rPr>
        <w:t xml:space="preserve">Cairns Indigenous Art Fair 2020, </w:t>
      </w:r>
      <w:hyperlink r:id="rId63" w:history="1">
        <w:r w:rsidRPr="000D6862">
          <w:rPr>
            <w:rStyle w:val="Hyperlink"/>
            <w:rFonts w:cstheme="minorHAnsi"/>
            <w:i/>
            <w:sz w:val="16"/>
            <w:szCs w:val="16"/>
          </w:rPr>
          <w:t>2020 Report</w:t>
        </w:r>
      </w:hyperlink>
      <w:r w:rsidRPr="000D6862">
        <w:rPr>
          <w:rFonts w:cstheme="minorHAnsi"/>
          <w:color w:val="000000"/>
          <w:szCs w:val="16"/>
        </w:rPr>
        <w:t>.</w:t>
      </w:r>
    </w:p>
  </w:footnote>
  <w:footnote w:id="78">
    <w:p w14:paraId="01985FDA" w14:textId="77777777" w:rsidR="00663A28" w:rsidRPr="000D6862" w:rsidRDefault="00663A28" w:rsidP="00663A28">
      <w:pPr>
        <w:autoSpaceDE w:val="0"/>
        <w:autoSpaceDN w:val="0"/>
        <w:adjustRightInd w:val="0"/>
        <w:rPr>
          <w:rFonts w:cstheme="minorHAnsi"/>
          <w:sz w:val="16"/>
          <w:szCs w:val="16"/>
          <w:lang w:val="en-US"/>
        </w:rPr>
      </w:pPr>
      <w:r w:rsidRPr="000D6862">
        <w:rPr>
          <w:rStyle w:val="FootnoteReference"/>
          <w:rFonts w:cstheme="minorHAnsi"/>
          <w:sz w:val="16"/>
          <w:szCs w:val="16"/>
        </w:rPr>
        <w:footnoteRef/>
      </w:r>
      <w:r w:rsidRPr="000D6862">
        <w:rPr>
          <w:rFonts w:cstheme="minorHAnsi"/>
          <w:sz w:val="16"/>
          <w:szCs w:val="16"/>
        </w:rPr>
        <w:t xml:space="preserve"> </w:t>
      </w:r>
      <w:r w:rsidRPr="000D6862">
        <w:rPr>
          <w:rFonts w:cstheme="minorHAnsi"/>
          <w:color w:val="000000"/>
          <w:sz w:val="16"/>
          <w:szCs w:val="16"/>
        </w:rPr>
        <w:t xml:space="preserve">Darwin Aboriginal Art Fair 2021, </w:t>
      </w:r>
      <w:hyperlink r:id="rId64" w:history="1">
        <w:r w:rsidRPr="000D6862">
          <w:rPr>
            <w:rStyle w:val="Hyperlink"/>
            <w:rFonts w:cstheme="minorHAnsi"/>
            <w:i/>
            <w:sz w:val="16"/>
            <w:szCs w:val="16"/>
          </w:rPr>
          <w:t>Digital DAAF a Roaring Success!</w:t>
        </w:r>
      </w:hyperlink>
      <w:r w:rsidRPr="000D6862">
        <w:rPr>
          <w:rFonts w:cstheme="minorHAnsi"/>
          <w:i/>
          <w:color w:val="000000"/>
          <w:sz w:val="16"/>
          <w:szCs w:val="16"/>
        </w:rPr>
        <w:t xml:space="preserve"> </w:t>
      </w:r>
    </w:p>
  </w:footnote>
  <w:footnote w:id="79">
    <w:p w14:paraId="4DA1D801" w14:textId="77777777" w:rsidR="00663A28" w:rsidRPr="000D6862" w:rsidRDefault="00663A28" w:rsidP="00663A28">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As above.</w:t>
      </w:r>
    </w:p>
  </w:footnote>
  <w:footnote w:id="80">
    <w:p w14:paraId="54E885D7" w14:textId="77777777" w:rsidR="00663A28" w:rsidRPr="000D6862" w:rsidRDefault="00663A28" w:rsidP="00663A28">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Australia Council 2021, </w:t>
      </w:r>
      <w:hyperlink r:id="rId65" w:history="1">
        <w:r w:rsidRPr="000D6862">
          <w:rPr>
            <w:rStyle w:val="Hyperlink"/>
            <w:rFonts w:cstheme="minorHAnsi"/>
            <w:i/>
            <w:sz w:val="16"/>
            <w:szCs w:val="16"/>
          </w:rPr>
          <w:t>In Real Life: Mapping digital cultural engagement in the first decades of the 21st century.</w:t>
        </w:r>
      </w:hyperlink>
    </w:p>
  </w:footnote>
  <w:footnote w:id="81">
    <w:p w14:paraId="7763687C" w14:textId="77777777" w:rsidR="00663A28" w:rsidRPr="000D6862" w:rsidRDefault="00663A28" w:rsidP="00663A28">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Holcombe-James I 2019, ‘Barriers to Digital Participation Within the Australian Cultural Sector: Mediating distance, unlocking collections’, RMIT University</w:t>
      </w:r>
      <w:r w:rsidRPr="000D6862" w:rsidDel="00CA70DE">
        <w:rPr>
          <w:rFonts w:cstheme="minorHAnsi"/>
          <w:szCs w:val="16"/>
        </w:rPr>
        <w:t>.</w:t>
      </w:r>
    </w:p>
  </w:footnote>
  <w:footnote w:id="82">
    <w:p w14:paraId="3BAC6604" w14:textId="77777777" w:rsidR="00663A28" w:rsidRPr="000D6862" w:rsidRDefault="00663A28" w:rsidP="00663A28">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Monthly cross-industry surveys conducted by the ABS throughout 2020 and 2021.</w:t>
      </w:r>
    </w:p>
  </w:footnote>
  <w:footnote w:id="83">
    <w:p w14:paraId="5FD282CA" w14:textId="77777777" w:rsidR="00663A28" w:rsidRPr="000D6862" w:rsidRDefault="00663A28" w:rsidP="00663A28">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Monthly cross-industry surveys conducted by the ABS throughout 2020 and 2021.</w:t>
      </w:r>
    </w:p>
  </w:footnote>
  <w:footnote w:id="84">
    <w:p w14:paraId="29F06955" w14:textId="77777777" w:rsidR="00663A28" w:rsidRPr="000D6862" w:rsidRDefault="00663A28" w:rsidP="00663A28">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ABS 2020, </w:t>
      </w:r>
      <w:hyperlink r:id="rId66" w:history="1">
        <w:r w:rsidRPr="000D6862">
          <w:rPr>
            <w:rStyle w:val="Hyperlink"/>
            <w:rFonts w:cstheme="minorHAnsi"/>
            <w:sz w:val="16"/>
            <w:szCs w:val="16"/>
          </w:rPr>
          <w:t>Business Conditions and Sentiments December</w:t>
        </w:r>
      </w:hyperlink>
      <w:r w:rsidRPr="000D6862">
        <w:rPr>
          <w:rFonts w:cstheme="minorHAnsi"/>
          <w:szCs w:val="16"/>
        </w:rPr>
        <w:t xml:space="preserve">. </w:t>
      </w:r>
    </w:p>
  </w:footnote>
  <w:footnote w:id="85">
    <w:p w14:paraId="0705B594" w14:textId="77777777" w:rsidR="00663A28" w:rsidRPr="000D6862" w:rsidRDefault="00663A28" w:rsidP="00663A28">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Monthly cross-industry surveys conducted by the ABS throughout 2020 and 2021.</w:t>
      </w:r>
    </w:p>
  </w:footnote>
  <w:footnote w:id="86">
    <w:p w14:paraId="01139E20" w14:textId="77777777" w:rsidR="00663A28" w:rsidRPr="000D6862" w:rsidRDefault="00663A28" w:rsidP="00663A28">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I</w:t>
      </w:r>
      <w:r w:rsidRPr="000D6862">
        <w:rPr>
          <w:rFonts w:cstheme="minorHAnsi"/>
          <w:color w:val="000000"/>
          <w:szCs w:val="16"/>
          <w:shd w:val="clear" w:color="auto" w:fill="FFFFFF"/>
        </w:rPr>
        <w:t xml:space="preserve"> Lost My Gig Australia 2021, </w:t>
      </w:r>
      <w:hyperlink r:id="rId67" w:history="1">
        <w:r w:rsidRPr="000D6862">
          <w:rPr>
            <w:rStyle w:val="Hyperlink"/>
            <w:rFonts w:cstheme="minorHAnsi"/>
            <w:sz w:val="16"/>
            <w:szCs w:val="16"/>
            <w:shd w:val="clear" w:color="auto" w:fill="FFFFFF"/>
          </w:rPr>
          <w:t>Survey Results from 1 July 2021 to 31 August 2021</w:t>
        </w:r>
      </w:hyperlink>
      <w:r w:rsidRPr="000D6862">
        <w:rPr>
          <w:rFonts w:cstheme="minorHAnsi"/>
          <w:color w:val="000000"/>
          <w:szCs w:val="16"/>
          <w:shd w:val="clear" w:color="auto" w:fill="FFFFFF"/>
        </w:rPr>
        <w:t>.</w:t>
      </w:r>
    </w:p>
  </w:footnote>
  <w:footnote w:id="87">
    <w:p w14:paraId="68A5DD4E" w14:textId="77777777" w:rsidR="00663A28" w:rsidRPr="000D6862" w:rsidRDefault="00663A28" w:rsidP="00663A28">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The Council conducted three sector surveys with our multi-year investment organisations to evaluate and advise the Office for the Arts on the detrimental impacts of the extended lockdowns on the arts and cultural sector.</w:t>
      </w:r>
    </w:p>
  </w:footnote>
  <w:footnote w:id="88">
    <w:p w14:paraId="3E27F592" w14:textId="77777777" w:rsidR="00663A28" w:rsidRPr="000D6862" w:rsidRDefault="00663A28" w:rsidP="00663A28">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ABS 2022, </w:t>
      </w:r>
      <w:hyperlink r:id="rId68" w:history="1">
        <w:r w:rsidRPr="000D6862">
          <w:rPr>
            <w:rStyle w:val="Hyperlink"/>
            <w:rFonts w:cstheme="minorHAnsi"/>
            <w:sz w:val="16"/>
            <w:szCs w:val="16"/>
          </w:rPr>
          <w:t>Business Conditions and Sentiments January</w:t>
        </w:r>
      </w:hyperlink>
      <w:r w:rsidRPr="000D6862">
        <w:rPr>
          <w:rFonts w:cstheme="minorHAnsi"/>
          <w:szCs w:val="16"/>
        </w:rPr>
        <w:t xml:space="preserve">. </w:t>
      </w:r>
    </w:p>
  </w:footnote>
  <w:footnote w:id="89">
    <w:p w14:paraId="50C898BB" w14:textId="636ACEA9" w:rsidR="00826BC8" w:rsidRDefault="00826BC8">
      <w:pPr>
        <w:pStyle w:val="FootnoteText"/>
      </w:pPr>
      <w:r>
        <w:rPr>
          <w:rStyle w:val="FootnoteReference"/>
        </w:rPr>
        <w:footnoteRef/>
      </w:r>
      <w:r>
        <w:t xml:space="preserve"> ABS 2022, </w:t>
      </w:r>
      <w:hyperlink r:id="rId69" w:history="1">
        <w:r w:rsidRPr="008F3F60">
          <w:rPr>
            <w:rStyle w:val="Hyperlink"/>
            <w:sz w:val="16"/>
          </w:rPr>
          <w:t>Business Conditions and Sentiments J</w:t>
        </w:r>
        <w:r w:rsidR="008F3F60" w:rsidRPr="008F3F60">
          <w:rPr>
            <w:rStyle w:val="Hyperlink"/>
            <w:sz w:val="16"/>
          </w:rPr>
          <w:t>une</w:t>
        </w:r>
      </w:hyperlink>
      <w:r w:rsidR="008F3F60">
        <w:t xml:space="preserve"> </w:t>
      </w:r>
    </w:p>
  </w:footnote>
  <w:footnote w:id="90">
    <w:p w14:paraId="1E04A720" w14:textId="77777777" w:rsidR="00663A28" w:rsidRPr="000D6862" w:rsidRDefault="00663A28" w:rsidP="00663A28">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See Australia Council 2020, </w:t>
      </w:r>
      <w:hyperlink r:id="rId70" w:history="1">
        <w:r w:rsidRPr="000D6862">
          <w:rPr>
            <w:rStyle w:val="Hyperlink"/>
            <w:rFonts w:cstheme="minorHAnsi"/>
            <w:sz w:val="16"/>
            <w:szCs w:val="16"/>
          </w:rPr>
          <w:t>2020 Resilience Fund</w:t>
        </w:r>
      </w:hyperlink>
      <w:r w:rsidRPr="000D6862">
        <w:rPr>
          <w:rFonts w:cstheme="minorHAnsi"/>
          <w:szCs w:val="16"/>
        </w:rPr>
        <w:t>. This package involved three streams: Survive (Small grants for individuals, groups and organisations to offset or recoup money lost due to cancelled activity); Adapt (Grants for individuals, groups and organisations to adapt their arts practice and explore new ways of working); and Create (Grants for individuals, groups and organisations to continue to create artistic work and/or develop creative responses in this time of disruption).</w:t>
      </w:r>
    </w:p>
  </w:footnote>
  <w:footnote w:id="91">
    <w:p w14:paraId="338C3C3C" w14:textId="77777777" w:rsidR="00663A28" w:rsidRPr="000D6862" w:rsidRDefault="00663A28" w:rsidP="00663A28">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Data released exclusively to the Sydney Morning Herald showed that creative and performing arts companies were paid more than $76m in JobKeeper payments in April, which flowed through to more than 25,000 workers. See Miller N 2020, </w:t>
      </w:r>
      <w:hyperlink r:id="rId71" w:anchor=":~:text=There%20are%20around%2040%2C000%20private,a%20JobKeeper%20payment%20in%20April." w:history="1">
        <w:r w:rsidRPr="000D6862">
          <w:rPr>
            <w:rStyle w:val="Hyperlink"/>
            <w:rFonts w:cstheme="minorHAnsi"/>
            <w:sz w:val="16"/>
            <w:szCs w:val="16"/>
          </w:rPr>
          <w:t>Two-Thirds of Arts Workers Relied on JobKeeper Payments, New Data Shows</w:t>
        </w:r>
      </w:hyperlink>
      <w:r w:rsidRPr="000D6862">
        <w:rPr>
          <w:rFonts w:cstheme="minorHAnsi"/>
          <w:szCs w:val="16"/>
        </w:rPr>
        <w:t xml:space="preserve">, </w:t>
      </w:r>
      <w:r w:rsidRPr="000D6862">
        <w:rPr>
          <w:rFonts w:cstheme="minorHAnsi"/>
          <w:i/>
          <w:iCs/>
          <w:szCs w:val="16"/>
        </w:rPr>
        <w:t>Sydney Morning Herald</w:t>
      </w:r>
      <w:r w:rsidRPr="000D6862">
        <w:rPr>
          <w:rFonts w:cstheme="minorHAnsi"/>
          <w:szCs w:val="16"/>
        </w:rPr>
        <w:t xml:space="preserve">. </w:t>
      </w:r>
    </w:p>
  </w:footnote>
  <w:footnote w:id="92">
    <w:p w14:paraId="25EF99D2" w14:textId="77777777" w:rsidR="00663A28" w:rsidRPr="000D6862" w:rsidRDefault="00663A28" w:rsidP="00663A28">
      <w:pPr>
        <w:pStyle w:val="FootnoteText"/>
        <w:rPr>
          <w:rFonts w:cstheme="minorHAnsi"/>
          <w:szCs w:val="16"/>
        </w:rPr>
      </w:pPr>
      <w:r w:rsidRPr="000D6862">
        <w:rPr>
          <w:rStyle w:val="FootnoteReference"/>
          <w:rFonts w:cstheme="minorHAnsi"/>
          <w:szCs w:val="16"/>
        </w:rPr>
        <w:footnoteRef/>
      </w:r>
      <w:r w:rsidRPr="000D6862" w:rsidDel="003A0D3C">
        <w:rPr>
          <w:rFonts w:cstheme="minorHAnsi"/>
          <w:szCs w:val="16"/>
        </w:rPr>
        <w:t xml:space="preserve"> </w:t>
      </w:r>
      <w:r w:rsidRPr="000D6862">
        <w:rPr>
          <w:rFonts w:cstheme="minorHAnsi"/>
          <w:color w:val="000000"/>
          <w:szCs w:val="16"/>
          <w:shd w:val="clear" w:color="auto" w:fill="FFFFFF"/>
        </w:rPr>
        <w:t xml:space="preserve">Pennington A and Eltham B 2021, </w:t>
      </w:r>
      <w:hyperlink r:id="rId72" w:history="1">
        <w:r w:rsidRPr="000D6862">
          <w:rPr>
            <w:rStyle w:val="Hyperlink"/>
            <w:rFonts w:cstheme="minorHAnsi"/>
            <w:i/>
            <w:sz w:val="16"/>
            <w:szCs w:val="16"/>
            <w:shd w:val="clear" w:color="auto" w:fill="FFFFFF"/>
          </w:rPr>
          <w:t>Creativity in Crisis: Rebooting Australia’s Arts and Entertainment Sector</w:t>
        </w:r>
      </w:hyperlink>
      <w:r w:rsidRPr="000D6862">
        <w:rPr>
          <w:rFonts w:cstheme="minorHAnsi"/>
          <w:color w:val="000000"/>
          <w:szCs w:val="16"/>
          <w:shd w:val="clear" w:color="auto" w:fill="FFFFFF"/>
        </w:rPr>
        <w:t>, Centre for Future Work at the Australia Institute.</w:t>
      </w:r>
    </w:p>
  </w:footnote>
  <w:footnote w:id="93">
    <w:p w14:paraId="73ECE6D3" w14:textId="77777777" w:rsidR="00663A28" w:rsidRPr="000D6862" w:rsidRDefault="00663A28" w:rsidP="00663A28">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Sharpe Advisory 2021, </w:t>
      </w:r>
      <w:hyperlink r:id="rId73" w:history="1">
        <w:r w:rsidRPr="000D6862">
          <w:rPr>
            <w:rStyle w:val="Hyperlink"/>
            <w:rFonts w:cstheme="minorHAnsi"/>
            <w:i/>
            <w:iCs/>
            <w:sz w:val="16"/>
            <w:szCs w:val="16"/>
          </w:rPr>
          <w:t>Guide to Government COVID-19 Assistance for the Arts 2021</w:t>
        </w:r>
      </w:hyperlink>
      <w:r w:rsidRPr="000D6862">
        <w:rPr>
          <w:rFonts w:cstheme="minorHAnsi"/>
          <w:szCs w:val="16"/>
        </w:rPr>
        <w:t>.</w:t>
      </w:r>
    </w:p>
  </w:footnote>
  <w:footnote w:id="94">
    <w:p w14:paraId="629A10B2" w14:textId="77777777" w:rsidR="001D15C4" w:rsidRPr="000D6862" w:rsidRDefault="001D15C4" w:rsidP="001D15C4">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Australia Council 2017, </w:t>
      </w:r>
      <w:hyperlink r:id="rId74" w:history="1">
        <w:r w:rsidRPr="000D6862">
          <w:rPr>
            <w:rStyle w:val="Hyperlink"/>
            <w:rFonts w:cstheme="minorHAnsi"/>
            <w:i/>
            <w:sz w:val="16"/>
            <w:szCs w:val="16"/>
          </w:rPr>
          <w:t>Making Art Work: A summary and response by the Australia Council for the Arts</w:t>
        </w:r>
      </w:hyperlink>
      <w:r w:rsidRPr="000D6862">
        <w:rPr>
          <w:rFonts w:cstheme="minorHAnsi"/>
          <w:szCs w:val="16"/>
        </w:rPr>
        <w:t>.</w:t>
      </w:r>
    </w:p>
  </w:footnote>
  <w:footnote w:id="95">
    <w:p w14:paraId="4B7F76CC" w14:textId="77777777" w:rsidR="001D15C4" w:rsidRPr="000D6862" w:rsidRDefault="001D15C4" w:rsidP="001D15C4">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ABS 2020, </w:t>
      </w:r>
      <w:hyperlink r:id="rId75" w:history="1">
        <w:r w:rsidRPr="000D6862">
          <w:rPr>
            <w:rStyle w:val="Hyperlink"/>
            <w:rFonts w:cstheme="minorHAnsi"/>
            <w:i/>
            <w:iCs/>
            <w:sz w:val="16"/>
            <w:szCs w:val="16"/>
          </w:rPr>
          <w:t>Insights Into Industry and Occupation</w:t>
        </w:r>
      </w:hyperlink>
      <w:r w:rsidRPr="000D6862">
        <w:rPr>
          <w:rFonts w:cstheme="minorHAnsi"/>
          <w:i/>
          <w:iCs/>
          <w:szCs w:val="16"/>
        </w:rPr>
        <w:t>.</w:t>
      </w:r>
      <w:r w:rsidRPr="000D6862">
        <w:rPr>
          <w:rFonts w:cstheme="minorHAnsi"/>
          <w:szCs w:val="16"/>
        </w:rPr>
        <w:t xml:space="preserve"> </w:t>
      </w:r>
    </w:p>
  </w:footnote>
  <w:footnote w:id="96">
    <w:p w14:paraId="65D2B3D6" w14:textId="77777777" w:rsidR="00EC3E0E" w:rsidRPr="000D6862" w:rsidRDefault="00EC3E0E" w:rsidP="00EC3E0E">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w:t>
      </w:r>
      <w:r w:rsidRPr="000D6862">
        <w:rPr>
          <w:rFonts w:cstheme="minorHAnsi"/>
          <w:szCs w:val="16"/>
          <w:shd w:val="clear" w:color="auto" w:fill="FFFFFF"/>
        </w:rPr>
        <w:t xml:space="preserve">BOP Consulting 2021, </w:t>
      </w:r>
      <w:r w:rsidRPr="000D6862">
        <w:rPr>
          <w:rFonts w:cstheme="minorHAnsi"/>
          <w:i/>
          <w:iCs/>
          <w:szCs w:val="16"/>
          <w:shd w:val="clear" w:color="auto" w:fill="FFFFFF"/>
        </w:rPr>
        <w:t>Cultural and Creative Industries in the Face of COVID-19: An Economic Impact Outlook</w:t>
      </w:r>
      <w:r w:rsidRPr="000D6862">
        <w:rPr>
          <w:rFonts w:cstheme="minorHAnsi"/>
          <w:szCs w:val="16"/>
          <w:shd w:val="clear" w:color="auto" w:fill="FFFFFF"/>
        </w:rPr>
        <w:t>, UNESCO.</w:t>
      </w:r>
    </w:p>
  </w:footnote>
  <w:footnote w:id="97">
    <w:p w14:paraId="5F4A0B62" w14:textId="77777777" w:rsidR="00EC3E0E" w:rsidRPr="000D6862" w:rsidRDefault="00EC3E0E" w:rsidP="00EC3E0E">
      <w:pPr>
        <w:pStyle w:val="FootnoteText"/>
        <w:rPr>
          <w:rFonts w:cstheme="minorHAnsi"/>
          <w:i/>
          <w:szCs w:val="16"/>
        </w:rPr>
      </w:pPr>
      <w:r w:rsidRPr="000D6862">
        <w:rPr>
          <w:rStyle w:val="FootnoteReference"/>
          <w:rFonts w:cstheme="minorHAnsi"/>
          <w:szCs w:val="16"/>
        </w:rPr>
        <w:footnoteRef/>
      </w:r>
      <w:r w:rsidRPr="000D6862">
        <w:rPr>
          <w:rFonts w:cstheme="minorHAnsi"/>
          <w:szCs w:val="16"/>
        </w:rPr>
        <w:t xml:space="preserve"> UNESCO 2022, </w:t>
      </w:r>
      <w:hyperlink r:id="rId76" w:history="1">
        <w:r w:rsidRPr="000D6862">
          <w:rPr>
            <w:rStyle w:val="Hyperlink"/>
            <w:rFonts w:cstheme="minorHAnsi"/>
            <w:i/>
            <w:iCs/>
            <w:sz w:val="16"/>
            <w:szCs w:val="16"/>
          </w:rPr>
          <w:t>Re|Shaping Policies For Creativity: Addressing culture as a public good</w:t>
        </w:r>
      </w:hyperlink>
      <w:r w:rsidRPr="000D6862">
        <w:rPr>
          <w:rFonts w:cstheme="minorHAnsi"/>
          <w:i/>
          <w:iCs/>
          <w:szCs w:val="16"/>
        </w:rPr>
        <w:t xml:space="preserve">. </w:t>
      </w:r>
    </w:p>
  </w:footnote>
  <w:footnote w:id="98">
    <w:p w14:paraId="36A384FF" w14:textId="77777777" w:rsidR="00EC3E0E" w:rsidRPr="000D6862" w:rsidRDefault="00EC3E0E" w:rsidP="00EC3E0E">
      <w:pPr>
        <w:pStyle w:val="FootnoteText"/>
        <w:rPr>
          <w:rFonts w:cstheme="minorHAnsi"/>
          <w:i/>
          <w:szCs w:val="16"/>
        </w:rPr>
      </w:pPr>
      <w:r w:rsidRPr="000D6862">
        <w:rPr>
          <w:rStyle w:val="FootnoteReference"/>
          <w:rFonts w:cstheme="minorHAnsi"/>
          <w:szCs w:val="16"/>
        </w:rPr>
        <w:footnoteRef/>
      </w:r>
      <w:r w:rsidRPr="000D6862">
        <w:rPr>
          <w:rFonts w:cstheme="minorHAnsi"/>
          <w:szCs w:val="16"/>
        </w:rPr>
        <w:t xml:space="preserve"> UNESCO 2022, </w:t>
      </w:r>
      <w:hyperlink r:id="rId77" w:history="1">
        <w:r w:rsidRPr="000D6862">
          <w:rPr>
            <w:rStyle w:val="Hyperlink"/>
            <w:rFonts w:cstheme="minorHAnsi"/>
            <w:i/>
            <w:iCs/>
            <w:sz w:val="16"/>
            <w:szCs w:val="16"/>
          </w:rPr>
          <w:t>Re|Shaping Policies For Creativity: Addressing culture as a public good</w:t>
        </w:r>
      </w:hyperlink>
      <w:r w:rsidRPr="000D6862">
        <w:rPr>
          <w:rFonts w:cstheme="minorHAnsi"/>
          <w:i/>
          <w:iCs/>
          <w:szCs w:val="16"/>
        </w:rPr>
        <w:t xml:space="preserve">. </w:t>
      </w:r>
    </w:p>
  </w:footnote>
  <w:footnote w:id="99">
    <w:p w14:paraId="3A31EEAC" w14:textId="77777777" w:rsidR="00EC3E0E" w:rsidRPr="000D6862" w:rsidRDefault="00EC3E0E" w:rsidP="00EC3E0E">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Lei, C 2022, </w:t>
      </w:r>
      <w:hyperlink r:id="rId78" w:history="1">
        <w:r w:rsidRPr="000D6862">
          <w:rPr>
            <w:rStyle w:val="Hyperlink"/>
            <w:rFonts w:cstheme="minorHAnsi"/>
            <w:sz w:val="16"/>
            <w:szCs w:val="16"/>
          </w:rPr>
          <w:t>Audience hesitancy is Omicron’s new curse</w:t>
        </w:r>
      </w:hyperlink>
      <w:r w:rsidRPr="000D6862">
        <w:rPr>
          <w:rFonts w:cstheme="minorHAnsi"/>
          <w:szCs w:val="16"/>
        </w:rPr>
        <w:t xml:space="preserve">, </w:t>
      </w:r>
      <w:r w:rsidRPr="000D6862">
        <w:rPr>
          <w:rFonts w:cstheme="minorHAnsi"/>
          <w:i/>
          <w:szCs w:val="16"/>
        </w:rPr>
        <w:t>ArtsHub</w:t>
      </w:r>
      <w:r w:rsidRPr="000D6862">
        <w:rPr>
          <w:rFonts w:cstheme="minorHAnsi"/>
          <w:szCs w:val="16"/>
        </w:rPr>
        <w:t>.</w:t>
      </w:r>
    </w:p>
  </w:footnote>
  <w:footnote w:id="100">
    <w:p w14:paraId="289E13A1" w14:textId="77777777" w:rsidR="00EC3E0E" w:rsidRPr="000D6862" w:rsidRDefault="00EC3E0E" w:rsidP="00EC3E0E">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NAVA, 2022, </w:t>
      </w:r>
      <w:hyperlink r:id="rId79" w:history="1">
        <w:r w:rsidRPr="000D6862">
          <w:rPr>
            <w:rStyle w:val="Hyperlink"/>
            <w:rFonts w:cstheme="minorHAnsi"/>
            <w:sz w:val="16"/>
            <w:szCs w:val="16"/>
          </w:rPr>
          <w:t>Pulse Survey: Omricon struggle for visual arts</w:t>
        </w:r>
      </w:hyperlink>
      <w:r w:rsidRPr="000D6862">
        <w:rPr>
          <w:rFonts w:cstheme="minorHAnsi"/>
          <w:szCs w:val="16"/>
        </w:rPr>
        <w:t xml:space="preserve">. </w:t>
      </w:r>
    </w:p>
  </w:footnote>
  <w:footnote w:id="101">
    <w:p w14:paraId="07FFC3F3" w14:textId="77777777" w:rsidR="004D2BF6" w:rsidRPr="000D6862" w:rsidRDefault="004D2BF6" w:rsidP="004D2BF6">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Throsby D and Peteskaya K 2017, </w:t>
      </w:r>
      <w:hyperlink r:id="rId80" w:history="1">
        <w:r w:rsidRPr="000D6862">
          <w:rPr>
            <w:rStyle w:val="Hyperlink"/>
            <w:rFonts w:cstheme="minorHAnsi"/>
            <w:i/>
            <w:iCs/>
            <w:sz w:val="16"/>
            <w:szCs w:val="16"/>
          </w:rPr>
          <w:t>Making Art Work: An Economic Study of Professional Artists in Australia</w:t>
        </w:r>
      </w:hyperlink>
      <w:r w:rsidRPr="000D6862">
        <w:rPr>
          <w:rFonts w:cstheme="minorHAnsi"/>
          <w:szCs w:val="16"/>
        </w:rPr>
        <w:t>, Australia Council.</w:t>
      </w:r>
    </w:p>
  </w:footnote>
  <w:footnote w:id="102">
    <w:p w14:paraId="7A0D0276" w14:textId="77777777" w:rsidR="004D2BF6" w:rsidRPr="000D6862" w:rsidRDefault="004D2BF6" w:rsidP="004D2BF6">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As above. </w:t>
      </w:r>
    </w:p>
  </w:footnote>
  <w:footnote w:id="103">
    <w:p w14:paraId="5445425C" w14:textId="77777777" w:rsidR="00CF6955" w:rsidRPr="000D6862" w:rsidRDefault="00CF6955" w:rsidP="00CF6955">
      <w:pPr>
        <w:textAlignment w:val="baseline"/>
        <w:rPr>
          <w:rFonts w:cstheme="minorHAnsi"/>
          <w:color w:val="000000"/>
          <w:sz w:val="16"/>
          <w:szCs w:val="16"/>
        </w:rPr>
      </w:pPr>
      <w:r w:rsidRPr="000D6862">
        <w:rPr>
          <w:rStyle w:val="FootnoteReference"/>
          <w:rFonts w:cstheme="minorHAnsi"/>
          <w:sz w:val="16"/>
          <w:szCs w:val="16"/>
        </w:rPr>
        <w:footnoteRef/>
      </w:r>
      <w:r w:rsidRPr="000D6862">
        <w:rPr>
          <w:rFonts w:cstheme="minorHAnsi"/>
          <w:sz w:val="16"/>
          <w:szCs w:val="16"/>
        </w:rPr>
        <w:t xml:space="preserve"> As above.</w:t>
      </w:r>
    </w:p>
  </w:footnote>
  <w:footnote w:id="104">
    <w:p w14:paraId="000FAA87" w14:textId="77777777" w:rsidR="00CF6955" w:rsidRPr="000D6862" w:rsidRDefault="00CF6955" w:rsidP="00CF6955">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Australia Council 2017, </w:t>
      </w:r>
      <w:hyperlink r:id="rId81" w:history="1">
        <w:r w:rsidRPr="000D6862">
          <w:rPr>
            <w:rStyle w:val="Hyperlink"/>
            <w:rFonts w:cstheme="minorHAnsi"/>
            <w:i/>
            <w:sz w:val="16"/>
            <w:szCs w:val="16"/>
          </w:rPr>
          <w:t>Making Art Work: A summary and response by the Australia Council for the Arts</w:t>
        </w:r>
      </w:hyperlink>
      <w:r w:rsidRPr="000D6862">
        <w:rPr>
          <w:rFonts w:cstheme="minorHAnsi"/>
          <w:szCs w:val="16"/>
        </w:rPr>
        <w:t>.</w:t>
      </w:r>
    </w:p>
  </w:footnote>
  <w:footnote w:id="105">
    <w:p w14:paraId="740DAE1E" w14:textId="77777777" w:rsidR="00CF6955" w:rsidRPr="000D6862" w:rsidRDefault="00CF6955" w:rsidP="00CF6955">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Sharpe Advisory 2020, </w:t>
      </w:r>
      <w:hyperlink r:id="rId82" w:history="1">
        <w:r w:rsidRPr="000D6862">
          <w:rPr>
            <w:rStyle w:val="Hyperlink"/>
            <w:rFonts w:cstheme="minorHAnsi"/>
            <w:i/>
            <w:iCs/>
            <w:sz w:val="16"/>
            <w:szCs w:val="16"/>
          </w:rPr>
          <w:t>COVID-19: Creative industries freelancers, non-permanent residents and JobKeeper</w:t>
        </w:r>
      </w:hyperlink>
      <w:r w:rsidRPr="000D6862">
        <w:rPr>
          <w:rFonts w:cstheme="minorHAnsi"/>
          <w:szCs w:val="16"/>
        </w:rPr>
        <w:t>, April 12.</w:t>
      </w:r>
      <w:r w:rsidRPr="000D6862">
        <w:rPr>
          <w:rFonts w:cstheme="minorHAnsi"/>
          <w:i/>
          <w:szCs w:val="16"/>
        </w:rPr>
        <w:t xml:space="preserve"> </w:t>
      </w:r>
    </w:p>
  </w:footnote>
  <w:footnote w:id="106">
    <w:p w14:paraId="4BDDB421" w14:textId="77777777" w:rsidR="00CF6955" w:rsidRPr="000D6862" w:rsidRDefault="00CF6955" w:rsidP="00CF6955">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ARC linkage 2020, </w:t>
      </w:r>
      <w:hyperlink r:id="rId83" w:history="1">
        <w:r w:rsidRPr="000D6862">
          <w:rPr>
            <w:rStyle w:val="Hyperlink"/>
            <w:rFonts w:cstheme="minorHAnsi"/>
            <w:i/>
            <w:sz w:val="16"/>
            <w:szCs w:val="16"/>
          </w:rPr>
          <w:t>Making Music Work: Sustainable portfolio careers for Australian musicians</w:t>
        </w:r>
      </w:hyperlink>
      <w:r w:rsidRPr="000D6862">
        <w:rPr>
          <w:rFonts w:cstheme="minorHAnsi"/>
          <w:i/>
          <w:szCs w:val="16"/>
        </w:rPr>
        <w:t>.</w:t>
      </w:r>
      <w:r w:rsidRPr="000D6862">
        <w:rPr>
          <w:rFonts w:cstheme="minorHAnsi"/>
          <w:szCs w:val="16"/>
        </w:rPr>
        <w:t xml:space="preserve"> Administering organisation: Griffith University.</w:t>
      </w:r>
    </w:p>
  </w:footnote>
  <w:footnote w:id="107">
    <w:p w14:paraId="15FF48AB" w14:textId="44B033D8" w:rsidR="00064DC6" w:rsidRPr="000D6862" w:rsidRDefault="00064DC6">
      <w:pPr>
        <w:pStyle w:val="FootnoteText"/>
        <w:rPr>
          <w:rFonts w:cstheme="minorHAnsi"/>
          <w:szCs w:val="16"/>
          <w:lang w:val="en-AU"/>
        </w:rPr>
      </w:pPr>
      <w:r w:rsidRPr="000D6862">
        <w:rPr>
          <w:rStyle w:val="FootnoteReference"/>
          <w:rFonts w:cstheme="minorHAnsi"/>
          <w:szCs w:val="16"/>
        </w:rPr>
        <w:footnoteRef/>
      </w:r>
      <w:r w:rsidRPr="000D6862">
        <w:rPr>
          <w:rFonts w:cstheme="minorHAnsi"/>
          <w:szCs w:val="16"/>
        </w:rPr>
        <w:t xml:space="preserve"> </w:t>
      </w:r>
      <w:r w:rsidR="00392807" w:rsidRPr="000D6862">
        <w:rPr>
          <w:rFonts w:cstheme="minorHAnsi"/>
          <w:szCs w:val="16"/>
        </w:rPr>
        <w:t xml:space="preserve">I Lost My Gig Australia 2020, </w:t>
      </w:r>
      <w:r w:rsidR="0086496D" w:rsidRPr="000D6862">
        <w:rPr>
          <w:rFonts w:cstheme="minorHAnsi"/>
          <w:i/>
          <w:iCs/>
          <w:szCs w:val="16"/>
        </w:rPr>
        <w:t>‘</w:t>
      </w:r>
      <w:hyperlink r:id="rId84" w:history="1">
        <w:r w:rsidR="002A69C1" w:rsidRPr="000D6862">
          <w:rPr>
            <w:rStyle w:val="Hyperlink"/>
            <w:rFonts w:cstheme="minorHAnsi"/>
            <w:i/>
            <w:iCs/>
            <w:sz w:val="16"/>
            <w:szCs w:val="16"/>
            <w:lang w:val="en-AU"/>
          </w:rPr>
          <w:t>Wide-scale Job Cancellations and Nearly $50m in Lost Income</w:t>
        </w:r>
      </w:hyperlink>
      <w:r w:rsidR="0086496D" w:rsidRPr="000D6862">
        <w:rPr>
          <w:rFonts w:cstheme="minorHAnsi"/>
          <w:i/>
          <w:iCs/>
          <w:szCs w:val="16"/>
          <w:lang w:val="en-AU"/>
        </w:rPr>
        <w:t>’</w:t>
      </w:r>
      <w:r w:rsidR="0086496D" w:rsidRPr="000D6862">
        <w:rPr>
          <w:rFonts w:cstheme="minorHAnsi"/>
          <w:szCs w:val="16"/>
          <w:lang w:val="en-AU"/>
        </w:rPr>
        <w:t xml:space="preserve"> [Media release], 16 March. </w:t>
      </w:r>
    </w:p>
  </w:footnote>
  <w:footnote w:id="108">
    <w:p w14:paraId="1B281E5B" w14:textId="77777777" w:rsidR="00CF6955" w:rsidRPr="000D6862" w:rsidRDefault="00CF6955" w:rsidP="00CF6955">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As above.</w:t>
      </w:r>
    </w:p>
  </w:footnote>
  <w:footnote w:id="109">
    <w:p w14:paraId="7E194D64" w14:textId="77777777" w:rsidR="0046309C" w:rsidRPr="000D6862" w:rsidRDefault="0046309C" w:rsidP="0046309C">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See Australia Council 2020, </w:t>
      </w:r>
      <w:hyperlink r:id="rId85" w:history="1">
        <w:r w:rsidRPr="000D6862">
          <w:rPr>
            <w:rStyle w:val="Hyperlink"/>
            <w:rFonts w:cstheme="minorHAnsi"/>
            <w:i/>
            <w:sz w:val="16"/>
            <w:szCs w:val="16"/>
          </w:rPr>
          <w:t>Summary of COVID-19 impact surveys</w:t>
        </w:r>
      </w:hyperlink>
      <w:r w:rsidRPr="000D6862">
        <w:rPr>
          <w:rFonts w:cstheme="minorHAnsi"/>
          <w:szCs w:val="16"/>
        </w:rPr>
        <w:t>.</w:t>
      </w:r>
    </w:p>
  </w:footnote>
  <w:footnote w:id="110">
    <w:p w14:paraId="3C78EA9A" w14:textId="77777777" w:rsidR="0046309C" w:rsidRPr="000D6862" w:rsidRDefault="0046309C" w:rsidP="0046309C">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Fisher J R et al 2020, ‘Mental Health of People in Australia in the First Month of COVID</w:t>
      </w:r>
      <w:r w:rsidRPr="000D6862">
        <w:rPr>
          <w:rFonts w:ascii="Cambria Math" w:hAnsi="Cambria Math" w:cs="Cambria Math"/>
          <w:szCs w:val="16"/>
        </w:rPr>
        <w:t>‐</w:t>
      </w:r>
      <w:r w:rsidRPr="000D6862">
        <w:rPr>
          <w:rFonts w:cstheme="minorHAnsi"/>
          <w:szCs w:val="16"/>
        </w:rPr>
        <w:t xml:space="preserve">19 Restrictions: A national survey’, </w:t>
      </w:r>
      <w:r w:rsidRPr="000D6862">
        <w:rPr>
          <w:rFonts w:cstheme="minorHAnsi"/>
          <w:i/>
          <w:szCs w:val="16"/>
        </w:rPr>
        <w:t>Medical Journal of Australia</w:t>
      </w:r>
      <w:r w:rsidRPr="000D6862">
        <w:rPr>
          <w:rFonts w:cstheme="minorHAnsi"/>
          <w:szCs w:val="16"/>
        </w:rPr>
        <w:t xml:space="preserve"> 213:10. </w:t>
      </w:r>
    </w:p>
  </w:footnote>
  <w:footnote w:id="111">
    <w:p w14:paraId="05CCED51" w14:textId="77777777" w:rsidR="0046309C" w:rsidRPr="000D6862" w:rsidRDefault="0046309C" w:rsidP="0046309C">
      <w:pPr>
        <w:pStyle w:val="FootnoteText"/>
        <w:rPr>
          <w:rFonts w:cstheme="minorHAnsi"/>
          <w:szCs w:val="16"/>
        </w:rPr>
      </w:pPr>
      <w:r w:rsidRPr="000D6862">
        <w:rPr>
          <w:rStyle w:val="FootnoteReference"/>
          <w:rFonts w:cstheme="minorHAnsi"/>
          <w:szCs w:val="16"/>
        </w:rPr>
        <w:footnoteRef/>
      </w:r>
      <w:r w:rsidRPr="000D6862" w:rsidDel="003F40F5">
        <w:rPr>
          <w:rFonts w:cstheme="minorHAnsi"/>
          <w:szCs w:val="16"/>
        </w:rPr>
        <w:t xml:space="preserve"> </w:t>
      </w:r>
      <w:r w:rsidRPr="000D6862">
        <w:rPr>
          <w:rFonts w:cstheme="minorHAnsi"/>
          <w:szCs w:val="16"/>
        </w:rPr>
        <w:t xml:space="preserve">Flore J et al 2021, ‘Creative Arts Workers During the Covid-19 Pandemic: Social imaginaries in lockdown’, </w:t>
      </w:r>
      <w:r w:rsidRPr="000D6862">
        <w:rPr>
          <w:rFonts w:cstheme="minorHAnsi"/>
          <w:i/>
          <w:szCs w:val="16"/>
        </w:rPr>
        <w:t>Journal of Sociology</w:t>
      </w:r>
      <w:r w:rsidRPr="000D6862">
        <w:rPr>
          <w:rFonts w:cstheme="minorHAnsi"/>
          <w:szCs w:val="16"/>
        </w:rPr>
        <w:t xml:space="preserve"> 0:00.</w:t>
      </w:r>
      <w:r w:rsidRPr="000D6862" w:rsidDel="008A6DD6">
        <w:rPr>
          <w:rFonts w:cstheme="minorHAnsi"/>
          <w:szCs w:val="16"/>
        </w:rPr>
        <w:t xml:space="preserve"> </w:t>
      </w:r>
      <w:r w:rsidRPr="000D6862">
        <w:rPr>
          <w:rFonts w:cstheme="minorHAnsi"/>
          <w:szCs w:val="16"/>
        </w:rPr>
        <w:t xml:space="preserve">Rusak H et al 2021, </w:t>
      </w:r>
      <w:r w:rsidRPr="000D6862">
        <w:rPr>
          <w:rFonts w:cstheme="minorHAnsi"/>
          <w:i/>
          <w:szCs w:val="16"/>
        </w:rPr>
        <w:t>Breathing Through the Pandemic: Performing arts challenges and responses to the mental health implications of COVID-19</w:t>
      </w:r>
      <w:r w:rsidRPr="000D6862">
        <w:rPr>
          <w:rFonts w:cstheme="minorHAnsi"/>
          <w:szCs w:val="16"/>
        </w:rPr>
        <w:t>. WAAPA.</w:t>
      </w:r>
    </w:p>
  </w:footnote>
  <w:footnote w:id="112">
    <w:p w14:paraId="77DD37D2" w14:textId="77777777" w:rsidR="004F767D" w:rsidRPr="000D6862" w:rsidRDefault="004F767D" w:rsidP="004F767D">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See Australia Council 2020, </w:t>
      </w:r>
      <w:hyperlink r:id="rId86" w:history="1">
        <w:r w:rsidRPr="000D6862">
          <w:rPr>
            <w:rStyle w:val="Hyperlink"/>
            <w:rFonts w:cstheme="minorHAnsi"/>
            <w:sz w:val="16"/>
            <w:szCs w:val="16"/>
          </w:rPr>
          <w:t>2020 Resilience Fund</w:t>
        </w:r>
      </w:hyperlink>
      <w:r w:rsidRPr="000D6862">
        <w:rPr>
          <w:rFonts w:cstheme="minorHAnsi"/>
          <w:szCs w:val="16"/>
        </w:rPr>
        <w:t xml:space="preserve">. </w:t>
      </w:r>
    </w:p>
  </w:footnote>
  <w:footnote w:id="113">
    <w:p w14:paraId="7CB3713D" w14:textId="77777777" w:rsidR="004F767D" w:rsidRPr="000D6862" w:rsidRDefault="004F767D" w:rsidP="004F767D">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See Australia Council 2020, </w:t>
      </w:r>
      <w:hyperlink r:id="rId87" w:history="1">
        <w:r w:rsidRPr="000D6862">
          <w:rPr>
            <w:rStyle w:val="Hyperlink"/>
            <w:rFonts w:cstheme="minorHAnsi"/>
            <w:sz w:val="16"/>
            <w:szCs w:val="16"/>
          </w:rPr>
          <w:t>Our response to COVID-19</w:t>
        </w:r>
      </w:hyperlink>
      <w:r w:rsidRPr="000D6862">
        <w:rPr>
          <w:rFonts w:cstheme="minorHAnsi"/>
          <w:szCs w:val="16"/>
        </w:rPr>
        <w:t>.</w:t>
      </w:r>
    </w:p>
  </w:footnote>
  <w:footnote w:id="114">
    <w:p w14:paraId="0B0C3E67" w14:textId="77777777" w:rsidR="004F767D" w:rsidRPr="000D6862" w:rsidRDefault="004F767D" w:rsidP="004F767D">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Data released exclusively to the Sydney Morning Herald showed that creative and performing arts companies were paid more than $76m in JobKeeper payments in April, which flowed through to more than 25,000 workers. See Miller N 2020, ‘</w:t>
      </w:r>
      <w:hyperlink r:id="rId88" w:anchor=":~:text=There%20are%20around%2040%2C000%20private,a%20JobKeeper%20payment%20in%20April." w:history="1">
        <w:r w:rsidRPr="000D6862">
          <w:rPr>
            <w:rStyle w:val="Hyperlink"/>
            <w:rFonts w:cstheme="minorHAnsi"/>
            <w:sz w:val="16"/>
            <w:szCs w:val="16"/>
          </w:rPr>
          <w:t>Two-Thirds of Arts Workers Relied on JobKeeper Payments, New Data Shows</w:t>
        </w:r>
      </w:hyperlink>
      <w:r w:rsidRPr="000D6862">
        <w:rPr>
          <w:rFonts w:cstheme="minorHAnsi"/>
          <w:szCs w:val="16"/>
        </w:rPr>
        <w:t xml:space="preserve">’, </w:t>
      </w:r>
      <w:r w:rsidRPr="000D6862">
        <w:rPr>
          <w:rFonts w:cstheme="minorHAnsi"/>
          <w:i/>
          <w:iCs/>
          <w:szCs w:val="16"/>
        </w:rPr>
        <w:t>Sydney Morning Herald</w:t>
      </w:r>
      <w:r w:rsidRPr="000D6862">
        <w:rPr>
          <w:rFonts w:cstheme="minorHAnsi"/>
          <w:szCs w:val="16"/>
        </w:rPr>
        <w:t xml:space="preserve">. </w:t>
      </w:r>
    </w:p>
  </w:footnote>
  <w:footnote w:id="115">
    <w:p w14:paraId="6FC2B807" w14:textId="77777777" w:rsidR="004F767D" w:rsidRPr="000D6862" w:rsidRDefault="004F767D" w:rsidP="004F767D">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Bureau of Communications and Arts Research (BCAR) 2020, </w:t>
      </w:r>
      <w:hyperlink r:id="rId89" w:history="1">
        <w:r w:rsidRPr="000D6862">
          <w:rPr>
            <w:rStyle w:val="Hyperlink"/>
            <w:rFonts w:cstheme="minorHAnsi"/>
            <w:i/>
            <w:iCs/>
            <w:sz w:val="16"/>
            <w:szCs w:val="16"/>
          </w:rPr>
          <w:t>Characteristics of Employment and Business Activity in Cultural and Creative Sectors</w:t>
        </w:r>
      </w:hyperlink>
      <w:r w:rsidRPr="000D6862">
        <w:rPr>
          <w:rFonts w:cstheme="minorHAnsi"/>
          <w:szCs w:val="16"/>
        </w:rPr>
        <w:t>.</w:t>
      </w:r>
    </w:p>
  </w:footnote>
  <w:footnote w:id="116">
    <w:p w14:paraId="509F79C2" w14:textId="77777777" w:rsidR="003579FE" w:rsidRPr="000D6862" w:rsidRDefault="003579FE" w:rsidP="003579FE">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Flore J et al 2021, ‘Creative Arts Workers During the Covid-19 Pandemic: Social imaginaries in lockdown’, </w:t>
      </w:r>
      <w:r w:rsidRPr="000D6862">
        <w:rPr>
          <w:rFonts w:cstheme="minorHAnsi"/>
          <w:i/>
          <w:szCs w:val="16"/>
        </w:rPr>
        <w:t>Journal of Sociology</w:t>
      </w:r>
      <w:r w:rsidRPr="000D6862">
        <w:rPr>
          <w:rFonts w:cstheme="minorHAnsi"/>
          <w:szCs w:val="16"/>
        </w:rPr>
        <w:t xml:space="preserve"> 0:00. </w:t>
      </w:r>
    </w:p>
  </w:footnote>
  <w:footnote w:id="117">
    <w:p w14:paraId="110ED63B" w14:textId="77777777" w:rsidR="003579FE" w:rsidRPr="000D6862" w:rsidRDefault="003579FE" w:rsidP="003579FE">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As above.</w:t>
      </w:r>
    </w:p>
  </w:footnote>
  <w:footnote w:id="118">
    <w:p w14:paraId="013D453E" w14:textId="77777777" w:rsidR="003579FE" w:rsidRPr="000D6862" w:rsidRDefault="003579FE" w:rsidP="003579FE">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Rusak H et al 2021, </w:t>
      </w:r>
      <w:r w:rsidRPr="000D6862">
        <w:rPr>
          <w:rFonts w:cstheme="minorHAnsi"/>
          <w:i/>
          <w:szCs w:val="16"/>
        </w:rPr>
        <w:t>Breathing Through the Pandemic: Performing arts challenges and responses to the mental health implications of COVID-19</w:t>
      </w:r>
      <w:r w:rsidRPr="000D6862">
        <w:rPr>
          <w:rFonts w:cstheme="minorHAnsi"/>
          <w:szCs w:val="16"/>
        </w:rPr>
        <w:t>, WAAPA.</w:t>
      </w:r>
    </w:p>
  </w:footnote>
  <w:footnote w:id="119">
    <w:p w14:paraId="66EB6936" w14:textId="77777777" w:rsidR="00B7108A" w:rsidRPr="000D6862" w:rsidRDefault="00B7108A" w:rsidP="00B7108A">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ArtsHub 2020, </w:t>
      </w:r>
      <w:hyperlink r:id="rId90" w:history="1">
        <w:r w:rsidRPr="000D6862">
          <w:rPr>
            <w:rStyle w:val="Hyperlink"/>
            <w:rFonts w:cstheme="minorHAnsi"/>
            <w:sz w:val="16"/>
            <w:szCs w:val="16"/>
          </w:rPr>
          <w:t>Support Act Wellbeing Helpline expands to include all artists and arts workers.</w:t>
        </w:r>
      </w:hyperlink>
      <w:r w:rsidRPr="000D6862">
        <w:rPr>
          <w:rFonts w:cstheme="minorHAnsi"/>
          <w:szCs w:val="16"/>
        </w:rPr>
        <w:t xml:space="preserve"> </w:t>
      </w:r>
    </w:p>
  </w:footnote>
  <w:footnote w:id="120">
    <w:p w14:paraId="70301DB9" w14:textId="77777777" w:rsidR="00B7108A" w:rsidRPr="000D6862" w:rsidRDefault="00B7108A" w:rsidP="00B7108A">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Rusak H et al 2021, </w:t>
      </w:r>
      <w:r w:rsidRPr="000D6862">
        <w:rPr>
          <w:rFonts w:cstheme="minorHAnsi"/>
          <w:i/>
          <w:szCs w:val="16"/>
        </w:rPr>
        <w:t>Breathing Through the Pandemic: Performing arts challenges and responses to the mental health implications of COVID-19</w:t>
      </w:r>
      <w:r w:rsidRPr="000D6862">
        <w:rPr>
          <w:rFonts w:cstheme="minorHAnsi"/>
          <w:szCs w:val="16"/>
        </w:rPr>
        <w:t>. WAAPA.</w:t>
      </w:r>
    </w:p>
  </w:footnote>
  <w:footnote w:id="121">
    <w:p w14:paraId="00F12BA3" w14:textId="77777777" w:rsidR="00B7108A" w:rsidRPr="000D6862" w:rsidRDefault="00B7108A" w:rsidP="00B7108A">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As above.</w:t>
      </w:r>
    </w:p>
  </w:footnote>
  <w:footnote w:id="122">
    <w:p w14:paraId="3F23AF35" w14:textId="77777777" w:rsidR="00B7108A" w:rsidRPr="000D6862" w:rsidRDefault="00B7108A" w:rsidP="00B7108A">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As above.</w:t>
      </w:r>
    </w:p>
  </w:footnote>
  <w:footnote w:id="123">
    <w:p w14:paraId="5705576D" w14:textId="77777777" w:rsidR="00B7108A" w:rsidRPr="000D6862" w:rsidRDefault="00B7108A" w:rsidP="00B7108A">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As above.</w:t>
      </w:r>
    </w:p>
  </w:footnote>
  <w:footnote w:id="124">
    <w:p w14:paraId="6156F0AB" w14:textId="77777777" w:rsidR="00904869" w:rsidRPr="000D6862" w:rsidRDefault="00904869" w:rsidP="00904869">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BlakDance et al 2020, </w:t>
      </w:r>
      <w:hyperlink r:id="rId91" w:history="1">
        <w:r w:rsidRPr="000D6862">
          <w:rPr>
            <w:rStyle w:val="Hyperlink"/>
            <w:rFonts w:cstheme="minorHAnsi"/>
            <w:sz w:val="16"/>
            <w:szCs w:val="16"/>
          </w:rPr>
          <w:t>First Nations COVID-19 Performing Arts Wellbeing Survey: Summary of Findings</w:t>
        </w:r>
      </w:hyperlink>
      <w:r w:rsidRPr="000D6862">
        <w:rPr>
          <w:rFonts w:cstheme="minorHAnsi"/>
          <w:szCs w:val="16"/>
        </w:rPr>
        <w:t xml:space="preserve">. </w:t>
      </w:r>
    </w:p>
  </w:footnote>
  <w:footnote w:id="125">
    <w:p w14:paraId="5F5BACE1" w14:textId="77777777" w:rsidR="00904869" w:rsidRPr="000D6862" w:rsidRDefault="00904869" w:rsidP="00904869">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As above.</w:t>
      </w:r>
    </w:p>
  </w:footnote>
  <w:footnote w:id="126">
    <w:p w14:paraId="5B042EFE" w14:textId="77777777" w:rsidR="00904869" w:rsidRPr="000D6862" w:rsidRDefault="00904869" w:rsidP="00904869">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Diversity Arts Australia 2022,</w:t>
      </w:r>
      <w:hyperlink r:id="rId92" w:history="1">
        <w:r w:rsidRPr="000D6862">
          <w:rPr>
            <w:rStyle w:val="Hyperlink"/>
            <w:rFonts w:cstheme="minorHAnsi"/>
            <w:sz w:val="16"/>
            <w:szCs w:val="16"/>
          </w:rPr>
          <w:t xml:space="preserve"> Lost Work 2.0 Report: The impacts of the pandemic on creatives of colour and First Nations creatives.</w:t>
        </w:r>
      </w:hyperlink>
    </w:p>
  </w:footnote>
  <w:footnote w:id="127">
    <w:p w14:paraId="4A8BBEC2" w14:textId="77777777" w:rsidR="00904869" w:rsidRPr="000D6862" w:rsidRDefault="00904869" w:rsidP="00904869">
      <w:pPr>
        <w:pStyle w:val="FootnoteText"/>
        <w:rPr>
          <w:rFonts w:cstheme="minorHAnsi"/>
          <w:szCs w:val="16"/>
        </w:rPr>
      </w:pPr>
      <w:r w:rsidRPr="000D6862">
        <w:rPr>
          <w:rStyle w:val="FootnoteReference"/>
          <w:rFonts w:cstheme="minorHAnsi"/>
          <w:szCs w:val="16"/>
        </w:rPr>
        <w:footnoteRef/>
      </w:r>
      <w:r w:rsidRPr="000D6862">
        <w:rPr>
          <w:rFonts w:cstheme="minorHAnsi"/>
          <w:szCs w:val="16"/>
        </w:rPr>
        <w:t xml:space="preserve"> As above.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3D22F" w14:textId="25B3E92B" w:rsidR="00165FBB" w:rsidRDefault="00F476D5" w:rsidP="00165FBB">
    <w:pPr>
      <w:pStyle w:val="Header"/>
    </w:pPr>
    <w:sdt>
      <w:sdtPr>
        <w:alias w:val="Title"/>
        <w:tag w:val=""/>
        <w:id w:val="-382490765"/>
        <w:dataBinding w:prefixMappings="xmlns:ns0='http://purl.org/dc/elements/1.1/' xmlns:ns1='http://schemas.openxmlformats.org/package/2006/metadata/core-properties' " w:xpath="/ns1:coreProperties[1]/ns0:title[1]" w:storeItemID="{6C3C8BC8-F283-45AE-878A-BAB7291924A1}"/>
        <w:text/>
      </w:sdtPr>
      <w:sdtEndPr/>
      <w:sdtContent>
        <w:r w:rsidR="00385435">
          <w:t>Impacts of COVID-19 on the Cultural and Creative Industries</w:t>
        </w:r>
      </w:sdtContent>
    </w:sdt>
    <w:r w:rsidR="0070574B">
      <w:rPr>
        <w:noProof/>
      </w:rPr>
      <w:drawing>
        <wp:anchor distT="0" distB="0" distL="114300" distR="114300" simplePos="0" relativeHeight="251658242" behindDoc="1" locked="1" layoutInCell="1" allowOverlap="1" wp14:anchorId="3BF88B05" wp14:editId="48FA2013">
          <wp:simplePos x="0" y="0"/>
          <wp:positionH relativeFrom="page">
            <wp:align>right</wp:align>
          </wp:positionH>
          <wp:positionV relativeFrom="page">
            <wp:posOffset>0</wp:posOffset>
          </wp:positionV>
          <wp:extent cx="2665095" cy="982345"/>
          <wp:effectExtent l="0" t="0" r="1905"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Header-01.png"/>
                  <pic:cNvPicPr/>
                </pic:nvPicPr>
                <pic:blipFill>
                  <a:blip r:embed="rId1"/>
                  <a:stretch>
                    <a:fillRect/>
                  </a:stretch>
                </pic:blipFill>
                <pic:spPr>
                  <a:xfrm>
                    <a:off x="0" y="0"/>
                    <a:ext cx="2665426" cy="982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C80C8" w14:textId="7E6607FD" w:rsidR="00B06AD1" w:rsidRPr="00B06AD1" w:rsidRDefault="0070574B" w:rsidP="0050742F">
    <w:pPr>
      <w:pStyle w:val="Title"/>
      <w:spacing w:after="120"/>
    </w:pPr>
    <w:r w:rsidRPr="001C2FCC">
      <w:rPr>
        <w:noProof/>
      </w:rPr>
      <w:drawing>
        <wp:anchor distT="0" distB="0" distL="114300" distR="114300" simplePos="0" relativeHeight="251658241" behindDoc="1" locked="1" layoutInCell="1" allowOverlap="1" wp14:anchorId="3EAD49E6" wp14:editId="18F8E3F5">
          <wp:simplePos x="498764" y="760021"/>
          <wp:positionH relativeFrom="page">
            <wp:align>right</wp:align>
          </wp:positionH>
          <wp:positionV relativeFrom="page">
            <wp:posOffset>0</wp:posOffset>
          </wp:positionV>
          <wp:extent cx="2665095" cy="982345"/>
          <wp:effectExtent l="0" t="0" r="1905"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Header-01.png"/>
                  <pic:cNvPicPr/>
                </pic:nvPicPr>
                <pic:blipFill>
                  <a:blip r:embed="rId1"/>
                  <a:stretch>
                    <a:fillRect/>
                  </a:stretch>
                </pic:blipFill>
                <pic:spPr>
                  <a:xfrm>
                    <a:off x="0" y="0"/>
                    <a:ext cx="2665426" cy="982800"/>
                  </a:xfrm>
                  <a:prstGeom prst="rect">
                    <a:avLst/>
                  </a:prstGeom>
                </pic:spPr>
              </pic:pic>
            </a:graphicData>
          </a:graphic>
          <wp14:sizeRelH relativeFrom="margin">
            <wp14:pctWidth>0</wp14:pctWidth>
          </wp14:sizeRelH>
          <wp14:sizeRelV relativeFrom="margin">
            <wp14:pctHeight>0</wp14:pctHeight>
          </wp14:sizeRelV>
        </wp:anchor>
      </w:drawing>
    </w:r>
    <w:r w:rsidR="00CB612D" w:rsidRPr="001C2FCC">
      <w:rPr>
        <w:noProof/>
      </w:rPr>
      <mc:AlternateContent>
        <mc:Choice Requires="wpg">
          <w:drawing>
            <wp:anchor distT="0" distB="0" distL="114300" distR="114300" simplePos="0" relativeHeight="251658240" behindDoc="0" locked="1" layoutInCell="1" allowOverlap="1" wp14:anchorId="1F4DFAF5" wp14:editId="0DA15163">
              <wp:simplePos x="0" y="0"/>
              <wp:positionH relativeFrom="page">
                <wp:posOffset>288290</wp:posOffset>
              </wp:positionH>
              <wp:positionV relativeFrom="page">
                <wp:posOffset>1260475</wp:posOffset>
              </wp:positionV>
              <wp:extent cx="216000" cy="216000"/>
              <wp:effectExtent l="0" t="0" r="12700" b="31750"/>
              <wp:wrapNone/>
              <wp:docPr id="35" name="Group 35"/>
              <wp:cNvGraphicFramePr/>
              <a:graphic xmlns:a="http://schemas.openxmlformats.org/drawingml/2006/main">
                <a:graphicData uri="http://schemas.microsoft.com/office/word/2010/wordprocessingGroup">
                  <wpg:wgp>
                    <wpg:cNvGrpSpPr/>
                    <wpg:grpSpPr>
                      <a:xfrm>
                        <a:off x="0" y="0"/>
                        <a:ext cx="216000" cy="216000"/>
                        <a:chOff x="0" y="0"/>
                        <a:chExt cx="216000" cy="216000"/>
                      </a:xfrm>
                    </wpg:grpSpPr>
                    <wps:wsp>
                      <wps:cNvPr id="33" name="Straight Connector 33"/>
                      <wps:cNvCnPr/>
                      <wps:spPr>
                        <a:xfrm>
                          <a:off x="7307" y="0"/>
                          <a:ext cx="0" cy="2160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wps:wsp>
                      <wps:cNvPr id="34" name="Straight Connector 34"/>
                      <wps:cNvCnPr/>
                      <wps:spPr>
                        <a:xfrm rot="5400000">
                          <a:off x="108000" y="-103415"/>
                          <a:ext cx="0" cy="2160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rto="http://schemas.microsoft.com/office/word/2006/arto" xmlns:oel="http://schemas.microsoft.com/office/2019/extlst">
          <w:pict w14:anchorId="50CC55A3">
            <v:group id="Group 35" style="position:absolute;margin-left:22.7pt;margin-top:99.25pt;width:17pt;height:17pt;z-index:251658240;mso-position-horizontal-relative:page;mso-position-vertical-relative:page;mso-width-relative:margin;mso-height-relative:margin" coordsize="216000,216000" o:spid="_x0000_s1026" w14:anchorId="1F1E50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">
              <v:line id="Straight Connector 33" style="position:absolute;visibility:visible;mso-wrap-style:square" o:spid="_x0000_s1027" strokecolor="#606 [3206]" strokeweight="1.5pt" o:connectortype="straight" from="7307,0" to="7307,2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"/>
              <v:line id="Straight Connector 34" style="position:absolute;rotation:90;visibility:visible;mso-wrap-style:square" o:spid="_x0000_s1028" strokecolor="#606 [3206]" strokeweight="1.5pt" o:connectortype="straight" from="108000,-103415" to="108000,11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"/>
              <w10:wrap anchorx="page" anchory="page"/>
              <w10:anchorlock/>
            </v:group>
          </w:pict>
        </mc:Fallback>
      </mc:AlternateContent>
    </w:r>
    <w:sdt>
      <w:sdtPr>
        <w:alias w:val="Title"/>
        <w:tag w:val=""/>
        <w:id w:val="1576014006"/>
        <w:dataBinding w:prefixMappings="xmlns:ns0='http://purl.org/dc/elements/1.1/' xmlns:ns1='http://schemas.openxmlformats.org/package/2006/metadata/core-properties' " w:xpath="/ns1:coreProperties[1]/ns0:title[1]" w:storeItemID="{6C3C8BC8-F283-45AE-878A-BAB7291924A1}"/>
        <w:text/>
      </w:sdtPr>
      <w:sdtEndPr/>
      <w:sdtContent>
        <w:r w:rsidR="0025623D">
          <w:t xml:space="preserve">Impacts of COVID-19 on the </w:t>
        </w:r>
        <w:r w:rsidR="00385435">
          <w:t>C</w:t>
        </w:r>
        <w:r w:rsidR="0025623D">
          <w:t xml:space="preserve">ultural and </w:t>
        </w:r>
        <w:r w:rsidR="00385435">
          <w:t>C</w:t>
        </w:r>
        <w:r w:rsidR="0025623D">
          <w:t xml:space="preserve">reative </w:t>
        </w:r>
        <w:r w:rsidR="00385435">
          <w:t>I</w:t>
        </w:r>
        <w:r w:rsidR="0025623D">
          <w:t>ndustries</w:t>
        </w:r>
      </w:sdtContent>
    </w:sdt>
    <w:r w:rsidR="0050742F">
      <w:br/>
    </w:r>
    <w:r w:rsidR="00B9151B">
      <w:rPr>
        <w:rStyle w:val="SubtitleChar"/>
        <w:i/>
        <w:iCs w:val="0"/>
      </w:rPr>
      <w:br/>
    </w:r>
    <w:r w:rsidR="00801AF0">
      <w:rPr>
        <w:rStyle w:val="SubtitleChar"/>
        <w:i/>
        <w:iCs w:val="0"/>
      </w:rPr>
      <w:t>Arts</w:t>
    </w:r>
    <w:r w:rsidR="00B06AD1" w:rsidRPr="00B06AD1">
      <w:rPr>
        <w:rStyle w:val="SubtitleChar"/>
        <w:i/>
        <w:iCs w:val="0"/>
      </w:rPr>
      <w:t xml:space="preserve"> and cultural audiences, organisations, artists and creative workers</w:t>
    </w:r>
    <w:r w:rsidR="00C41C88">
      <w:rPr>
        <w:rStyle w:val="SubtitleChar"/>
        <w:i/>
        <w:iCs w:val="0"/>
      </w:rPr>
      <w:br/>
    </w:r>
    <w:r w:rsidR="0050742F">
      <w:rPr>
        <w:rStyle w:val="BodyTextChar"/>
        <w:rFonts w:eastAsiaTheme="minorHAnsi"/>
        <w:sz w:val="22"/>
        <w:szCs w:val="22"/>
      </w:rPr>
      <w:br/>
    </w:r>
    <w:r w:rsidR="008B75A6">
      <w:rPr>
        <w:rStyle w:val="BodyTextChar"/>
        <w:rFonts w:eastAsiaTheme="minorHAnsi"/>
        <w:sz w:val="22"/>
        <w:szCs w:val="22"/>
      </w:rPr>
      <w:t>August</w:t>
    </w:r>
    <w:r w:rsidR="0056652E" w:rsidRPr="0056652E">
      <w:rPr>
        <w:rStyle w:val="BodyTextChar"/>
        <w:rFonts w:eastAsiaTheme="minorHAnsi"/>
        <w:sz w:val="22"/>
        <w:szCs w:val="22"/>
      </w:rPr>
      <w:t xml:space="preserve"> 2022</w:t>
    </w:r>
  </w:p>
  <w:p w14:paraId="68103BD6" w14:textId="0E4CA724" w:rsidR="00B06AD1" w:rsidRDefault="00B06AD1"/>
  <w:p w14:paraId="2DB4C5E1" w14:textId="77777777" w:rsidR="004E702C" w:rsidRDefault="004E70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6564"/>
    <w:multiLevelType w:val="multilevel"/>
    <w:tmpl w:val="FB9877D6"/>
    <w:numStyleLink w:val="ListAlpha"/>
  </w:abstractNum>
  <w:abstractNum w:abstractNumId="1" w15:restartNumberingAfterBreak="0">
    <w:nsid w:val="01FB28C5"/>
    <w:multiLevelType w:val="multilevel"/>
    <w:tmpl w:val="E0DA9754"/>
    <w:styleLink w:val="ListParagraph0"/>
    <w:lvl w:ilvl="0">
      <w:start w:val="1"/>
      <w:numFmt w:val="none"/>
      <w:pStyle w:val="ListParagraph"/>
      <w:suff w:val="nothing"/>
      <w:lvlText w:val=""/>
      <w:lvlJc w:val="left"/>
      <w:pPr>
        <w:ind w:left="425" w:firstLine="0"/>
      </w:pPr>
      <w:rPr>
        <w:rFonts w:asciiTheme="minorHAnsi" w:hAnsiTheme="minorHAnsi" w:hint="default"/>
        <w:color w:val="auto"/>
      </w:rPr>
    </w:lvl>
    <w:lvl w:ilvl="1">
      <w:start w:val="1"/>
      <w:numFmt w:val="none"/>
      <w:pStyle w:val="ListParagraph2"/>
      <w:suff w:val="nothing"/>
      <w:lvlText w:val=""/>
      <w:lvlJc w:val="left"/>
      <w:pPr>
        <w:ind w:left="850" w:firstLine="0"/>
      </w:pPr>
      <w:rPr>
        <w:rFonts w:asciiTheme="minorHAnsi" w:hAnsiTheme="minorHAnsi" w:hint="default"/>
        <w:color w:val="auto"/>
      </w:rPr>
    </w:lvl>
    <w:lvl w:ilvl="2">
      <w:start w:val="1"/>
      <w:numFmt w:val="none"/>
      <w:pStyle w:val="ListParagraph3"/>
      <w:suff w:val="nothing"/>
      <w:lvlText w:val=""/>
      <w:lvlJc w:val="left"/>
      <w:pPr>
        <w:ind w:left="1275" w:firstLine="0"/>
      </w:pPr>
      <w:rPr>
        <w:rFonts w:asciiTheme="minorHAnsi" w:hAnsiTheme="minorHAnsi" w:hint="default"/>
        <w:color w:val="auto"/>
      </w:rPr>
    </w:lvl>
    <w:lvl w:ilvl="3">
      <w:start w:val="1"/>
      <w:numFmt w:val="none"/>
      <w:pStyle w:val="ListParagraph4"/>
      <w:suff w:val="nothing"/>
      <w:lvlText w:val=""/>
      <w:lvlJc w:val="left"/>
      <w:pPr>
        <w:ind w:left="1700" w:firstLine="0"/>
      </w:pPr>
      <w:rPr>
        <w:rFonts w:asciiTheme="minorHAnsi" w:hAnsiTheme="minorHAnsi" w:hint="default"/>
        <w:color w:val="auto"/>
      </w:rPr>
    </w:lvl>
    <w:lvl w:ilvl="4">
      <w:start w:val="1"/>
      <w:numFmt w:val="none"/>
      <w:pStyle w:val="ListParagraph5"/>
      <w:suff w:val="nothing"/>
      <w:lvlText w:val=""/>
      <w:lvlJc w:val="left"/>
      <w:pPr>
        <w:ind w:left="2125" w:firstLine="0"/>
      </w:pPr>
      <w:rPr>
        <w:rFonts w:asciiTheme="minorHAnsi" w:hAnsiTheme="minorHAnsi" w:hint="default"/>
        <w:color w:val="auto"/>
      </w:rPr>
    </w:lvl>
    <w:lvl w:ilvl="5">
      <w:start w:val="1"/>
      <w:numFmt w:val="none"/>
      <w:pStyle w:val="ListParagraph6"/>
      <w:suff w:val="nothing"/>
      <w:lvlText w:val=""/>
      <w:lvlJc w:val="left"/>
      <w:pPr>
        <w:ind w:left="2550" w:firstLine="0"/>
      </w:pPr>
      <w:rPr>
        <w:rFonts w:asciiTheme="minorHAnsi" w:hAnsiTheme="minorHAnsi" w:hint="default"/>
        <w:color w:val="auto"/>
      </w:rPr>
    </w:lvl>
    <w:lvl w:ilvl="6">
      <w:start w:val="1"/>
      <w:numFmt w:val="none"/>
      <w:suff w:val="nothing"/>
      <w:lvlText w:val=""/>
      <w:lvlJc w:val="left"/>
      <w:pPr>
        <w:ind w:left="2975" w:firstLine="0"/>
      </w:pPr>
      <w:rPr>
        <w:rFonts w:hint="default"/>
        <w:color w:val="000000"/>
      </w:rPr>
    </w:lvl>
    <w:lvl w:ilvl="7">
      <w:start w:val="1"/>
      <w:numFmt w:val="none"/>
      <w:suff w:val="nothing"/>
      <w:lvlText w:val=""/>
      <w:lvlJc w:val="left"/>
      <w:pPr>
        <w:ind w:left="3400" w:firstLine="0"/>
      </w:pPr>
      <w:rPr>
        <w:rFonts w:hint="default"/>
      </w:rPr>
    </w:lvl>
    <w:lvl w:ilvl="8">
      <w:numFmt w:val="none"/>
      <w:lvlText w:val=""/>
      <w:lvlJc w:val="left"/>
      <w:pPr>
        <w:tabs>
          <w:tab w:val="num" w:pos="3825"/>
        </w:tabs>
        <w:ind w:left="3825" w:firstLine="0"/>
      </w:pPr>
      <w:rPr>
        <w:rFonts w:hint="default"/>
      </w:rPr>
    </w:lvl>
  </w:abstractNum>
  <w:abstractNum w:abstractNumId="2" w15:restartNumberingAfterBreak="0">
    <w:nsid w:val="02A0660C"/>
    <w:multiLevelType w:val="multilevel"/>
    <w:tmpl w:val="E0DA9754"/>
    <w:numStyleLink w:val="ListParagraph0"/>
  </w:abstractNum>
  <w:abstractNum w:abstractNumId="3" w15:restartNumberingAfterBreak="0">
    <w:nsid w:val="0460749B"/>
    <w:multiLevelType w:val="multilevel"/>
    <w:tmpl w:val="710E902A"/>
    <w:numStyleLink w:val="ListNumber"/>
  </w:abstractNum>
  <w:abstractNum w:abstractNumId="4" w15:restartNumberingAfterBreak="0">
    <w:nsid w:val="058610FF"/>
    <w:multiLevelType w:val="multilevel"/>
    <w:tmpl w:val="FB9877D6"/>
    <w:numStyleLink w:val="ListAlpha"/>
  </w:abstractNum>
  <w:abstractNum w:abstractNumId="5" w15:restartNumberingAfterBreak="0">
    <w:nsid w:val="068C4A97"/>
    <w:multiLevelType w:val="multilevel"/>
    <w:tmpl w:val="3BDA6F38"/>
    <w:numStyleLink w:val="ListTableBullet"/>
  </w:abstractNum>
  <w:abstractNum w:abstractNumId="6" w15:restartNumberingAfterBreak="0">
    <w:nsid w:val="07284AE9"/>
    <w:multiLevelType w:val="multilevel"/>
    <w:tmpl w:val="FB9877D6"/>
    <w:styleLink w:val="ListAlpha"/>
    <w:lvl w:ilvl="0">
      <w:numFmt w:val="decimal"/>
      <w:pStyle w:val="ListAlpha0"/>
      <w:lvlText w:val=""/>
      <w:lvlJc w:val="left"/>
    </w:lvl>
    <w:lvl w:ilvl="1">
      <w:numFmt w:val="decimal"/>
      <w:pStyle w:val="ListAlpha2"/>
      <w:lvlText w:val=""/>
      <w:lvlJc w:val="left"/>
    </w:lvl>
    <w:lvl w:ilvl="2">
      <w:numFmt w:val="decimal"/>
      <w:pStyle w:val="ListAlpha3"/>
      <w:lvlText w:val=""/>
      <w:lvlJc w:val="left"/>
    </w:lvl>
    <w:lvl w:ilvl="3">
      <w:numFmt w:val="decimal"/>
      <w:pStyle w:val="ListAlpha4"/>
      <w:lvlText w:val=""/>
      <w:lvlJc w:val="left"/>
    </w:lvl>
    <w:lvl w:ilvl="4">
      <w:numFmt w:val="decimal"/>
      <w:pStyle w:val="ListAlpha5"/>
      <w:lvlText w:val=""/>
      <w:lvlJc w:val="left"/>
    </w:lvl>
    <w:lvl w:ilvl="5">
      <w:numFmt w:val="decimal"/>
      <w:pStyle w:val="ListAlpha6"/>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B990D6B"/>
    <w:multiLevelType w:val="multilevel"/>
    <w:tmpl w:val="6564150A"/>
    <w:numStyleLink w:val="ListBullet"/>
  </w:abstractNum>
  <w:abstractNum w:abstractNumId="8" w15:restartNumberingAfterBreak="0">
    <w:nsid w:val="0DD726A9"/>
    <w:multiLevelType w:val="multilevel"/>
    <w:tmpl w:val="C988152A"/>
    <w:styleLink w:val="ListAppendix"/>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737170"/>
    <w:multiLevelType w:val="multilevel"/>
    <w:tmpl w:val="89A4C894"/>
    <w:styleLink w:val="ListNbrHeading"/>
    <w:lvl w:ilvl="0">
      <w:numFmt w:val="decimal"/>
      <w:pStyle w:val="NbrHeading1"/>
      <w:lvlText w:val=""/>
      <w:lvlJc w:val="left"/>
    </w:lvl>
    <w:lvl w:ilvl="1">
      <w:numFmt w:val="decimal"/>
      <w:pStyle w:val="NbrHeading2"/>
      <w:lvlText w:val=""/>
      <w:lvlJc w:val="left"/>
    </w:lvl>
    <w:lvl w:ilvl="2">
      <w:numFmt w:val="decimal"/>
      <w:pStyle w:val="NbrHeading3"/>
      <w:lvlText w:val=""/>
      <w:lvlJc w:val="left"/>
    </w:lvl>
    <w:lvl w:ilvl="3">
      <w:numFmt w:val="decimal"/>
      <w:pStyle w:val="NbrHeading4"/>
      <w:lvlText w:val=""/>
      <w:lvlJc w:val="left"/>
    </w:lvl>
    <w:lvl w:ilvl="4">
      <w:numFmt w:val="decimal"/>
      <w:pStyle w:val="NbrHeading5"/>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F832834"/>
    <w:multiLevelType w:val="multilevel"/>
    <w:tmpl w:val="5D3082C6"/>
    <w:numStyleLink w:val="ListNumberedHeadings"/>
  </w:abstractNum>
  <w:abstractNum w:abstractNumId="11" w15:restartNumberingAfterBreak="0">
    <w:nsid w:val="24741D40"/>
    <w:multiLevelType w:val="multilevel"/>
    <w:tmpl w:val="710E902A"/>
    <w:styleLink w:val="ListNumber"/>
    <w:lvl w:ilvl="0">
      <w:numFmt w:val="decimal"/>
      <w:pStyle w:val="ListNumber0"/>
      <w:lvlText w:val=""/>
      <w:lvlJc w:val="left"/>
    </w:lvl>
    <w:lvl w:ilvl="1">
      <w:numFmt w:val="decimal"/>
      <w:pStyle w:val="ListNumber2"/>
      <w:lvlText w:val=""/>
      <w:lvlJc w:val="left"/>
    </w:lvl>
    <w:lvl w:ilvl="2">
      <w:numFmt w:val="decimal"/>
      <w:pStyle w:val="ListNumber3"/>
      <w:lvlText w:val=""/>
      <w:lvlJc w:val="left"/>
    </w:lvl>
    <w:lvl w:ilvl="3">
      <w:numFmt w:val="decimal"/>
      <w:pStyle w:val="ListNumber4"/>
      <w:lvlText w:val=""/>
      <w:lvlJc w:val="left"/>
    </w:lvl>
    <w:lvl w:ilvl="4">
      <w:numFmt w:val="decimal"/>
      <w:pStyle w:val="ListNumber5"/>
      <w:lvlText w:val=""/>
      <w:lvlJc w:val="left"/>
    </w:lvl>
    <w:lvl w:ilvl="5">
      <w:numFmt w:val="decimal"/>
      <w:pStyle w:val="ListNumber6"/>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B57907"/>
    <w:multiLevelType w:val="multilevel"/>
    <w:tmpl w:val="3BDA6F38"/>
    <w:styleLink w:val="ListTableBullet"/>
    <w:lvl w:ilvl="0">
      <w:numFmt w:val="decimal"/>
      <w:pStyle w:val="TableBullet"/>
      <w:lvlText w:val=""/>
      <w:lvlJc w:val="left"/>
    </w:lvl>
    <w:lvl w:ilvl="1">
      <w:numFmt w:val="decimal"/>
      <w:pStyle w:val="TableBullet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934A6B"/>
    <w:multiLevelType w:val="multilevel"/>
    <w:tmpl w:val="0F9EA0A8"/>
    <w:name w:val="AGSDash"/>
    <w:lvl w:ilvl="0">
      <w:start w:val="1"/>
      <w:numFmt w:val="bullet"/>
      <w:lvlText w:val="—"/>
      <w:lvlJc w:val="left"/>
      <w:pPr>
        <w:tabs>
          <w:tab w:val="num" w:pos="425"/>
        </w:tabs>
        <w:ind w:left="425" w:hanging="425"/>
      </w:pPr>
      <w:rPr>
        <w:b/>
        <w:i w:val="0"/>
      </w:rPr>
    </w:lvl>
    <w:lvl w:ilvl="1">
      <w:start w:val="1"/>
      <w:numFmt w:val="bullet"/>
      <w:lvlText w:val="—"/>
      <w:lvlJc w:val="left"/>
      <w:pPr>
        <w:tabs>
          <w:tab w:val="num" w:pos="425"/>
        </w:tabs>
        <w:ind w:left="425" w:hanging="425"/>
      </w:pPr>
      <w:rPr>
        <w:b/>
        <w:i w:val="0"/>
      </w:rPr>
    </w:lvl>
    <w:lvl w:ilvl="2">
      <w:start w:val="1"/>
      <w:numFmt w:val="bullet"/>
      <w:lvlText w:val="–"/>
      <w:lvlJc w:val="left"/>
      <w:pPr>
        <w:tabs>
          <w:tab w:val="num" w:pos="850"/>
        </w:tabs>
        <w:ind w:left="850" w:hanging="425"/>
      </w:pPr>
      <w:rPr>
        <w:b w:val="0"/>
        <w:i w:val="0"/>
      </w:rPr>
    </w:lvl>
    <w:lvl w:ilvl="3">
      <w:start w:val="1"/>
      <w:numFmt w:val="bullet"/>
      <w:lvlText w:val="–"/>
      <w:lvlJc w:val="left"/>
      <w:pPr>
        <w:tabs>
          <w:tab w:val="num" w:pos="1276"/>
        </w:tabs>
        <w:ind w:left="1276" w:hanging="426"/>
      </w:pPr>
      <w:rPr>
        <w:b w:val="0"/>
        <w:i w:val="0"/>
      </w:rPr>
    </w:lvl>
    <w:lvl w:ilvl="4">
      <w:start w:val="1"/>
      <w:numFmt w:val="bullet"/>
      <w:lvlText w:val="–"/>
      <w:lvlJc w:val="left"/>
      <w:pPr>
        <w:tabs>
          <w:tab w:val="num" w:pos="1701"/>
        </w:tabs>
        <w:ind w:left="1701" w:hanging="425"/>
      </w:pPr>
      <w:rPr>
        <w:b w:val="0"/>
        <w:i w:val="0"/>
      </w:rPr>
    </w:lvl>
    <w:lvl w:ilvl="5">
      <w:start w:val="1"/>
      <w:numFmt w:val="bullet"/>
      <w:lvlText w:val="–"/>
      <w:lvlJc w:val="left"/>
      <w:pPr>
        <w:tabs>
          <w:tab w:val="num" w:pos="2126"/>
        </w:tabs>
        <w:ind w:left="2126" w:hanging="425"/>
      </w:pPr>
      <w:rPr>
        <w:b w:val="0"/>
        <w:i w:val="0"/>
      </w:rPr>
    </w:lvl>
    <w:lvl w:ilvl="6">
      <w:start w:val="1"/>
      <w:numFmt w:val="bullet"/>
      <w:lvlText w:val="–"/>
      <w:lvlJc w:val="left"/>
      <w:pPr>
        <w:tabs>
          <w:tab w:val="num" w:pos="2551"/>
        </w:tabs>
        <w:ind w:left="2551" w:hanging="425"/>
      </w:pPr>
      <w:rPr>
        <w:b w:val="0"/>
        <w:i w:val="0"/>
      </w:rPr>
    </w:lvl>
    <w:lvl w:ilvl="7">
      <w:start w:val="1"/>
      <w:numFmt w:val="bullet"/>
      <w:lvlText w:val="–"/>
      <w:lvlJc w:val="left"/>
      <w:pPr>
        <w:tabs>
          <w:tab w:val="num" w:pos="2976"/>
        </w:tabs>
        <w:ind w:left="2976" w:hanging="425"/>
      </w:pPr>
      <w:rPr>
        <w:b w:val="0"/>
        <w:i w:val="0"/>
      </w:rPr>
    </w:lvl>
    <w:lvl w:ilvl="8">
      <w:start w:val="1"/>
      <w:numFmt w:val="bullet"/>
      <w:lvlText w:val="–"/>
      <w:lvlJc w:val="left"/>
      <w:pPr>
        <w:tabs>
          <w:tab w:val="num" w:pos="3402"/>
        </w:tabs>
        <w:ind w:left="3402" w:hanging="426"/>
      </w:pPr>
      <w:rPr>
        <w:b w:val="0"/>
        <w:i w:val="0"/>
      </w:rPr>
    </w:lvl>
  </w:abstractNum>
  <w:abstractNum w:abstractNumId="14" w15:restartNumberingAfterBreak="0">
    <w:nsid w:val="29973E80"/>
    <w:multiLevelType w:val="multilevel"/>
    <w:tmpl w:val="07F80B6A"/>
    <w:styleLink w:val="ListTableNumber"/>
    <w:lvl w:ilvl="0">
      <w:numFmt w:val="decimal"/>
      <w:pStyle w:val="TableNumber"/>
      <w:lvlText w:val=""/>
      <w:lvlJc w:val="left"/>
    </w:lvl>
    <w:lvl w:ilvl="1">
      <w:numFmt w:val="decimal"/>
      <w:pStyle w:val="TableNumbe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BA21D4"/>
    <w:multiLevelType w:val="hybridMultilevel"/>
    <w:tmpl w:val="CFDCE18A"/>
    <w:lvl w:ilvl="0" w:tplc="0C090001">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16" w15:restartNumberingAfterBreak="0">
    <w:nsid w:val="305F62E8"/>
    <w:multiLevelType w:val="multilevel"/>
    <w:tmpl w:val="07F80B6A"/>
    <w:numStyleLink w:val="ListTableNumber"/>
  </w:abstractNum>
  <w:abstractNum w:abstractNumId="17" w15:restartNumberingAfterBreak="0">
    <w:nsid w:val="353912ED"/>
    <w:multiLevelType w:val="multilevel"/>
    <w:tmpl w:val="6564150A"/>
    <w:styleLink w:val="ListBullet"/>
    <w:lvl w:ilvl="0">
      <w:numFmt w:val="decimal"/>
      <w:pStyle w:val="ListBullet0"/>
      <w:lvlText w:val=""/>
      <w:lvlJc w:val="left"/>
    </w:lvl>
    <w:lvl w:ilvl="1">
      <w:numFmt w:val="decimal"/>
      <w:pStyle w:val="ListBullet2"/>
      <w:lvlText w:val=""/>
      <w:lvlJc w:val="left"/>
    </w:lvl>
    <w:lvl w:ilvl="2">
      <w:numFmt w:val="decimal"/>
      <w:pStyle w:val="ListBullet3"/>
      <w:lvlText w:val=""/>
      <w:lvlJc w:val="left"/>
    </w:lvl>
    <w:lvl w:ilvl="3">
      <w:numFmt w:val="decimal"/>
      <w:pStyle w:val="ListBullet4"/>
      <w:lvlText w:val=""/>
      <w:lvlJc w:val="left"/>
    </w:lvl>
    <w:lvl w:ilvl="4">
      <w:numFmt w:val="decimal"/>
      <w:pStyle w:val="ListBullet5"/>
      <w:lvlText w:val=""/>
      <w:lvlJc w:val="left"/>
    </w:lvl>
    <w:lvl w:ilvl="5">
      <w:numFmt w:val="decimal"/>
      <w:pStyle w:val="ListBullet6"/>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901A8E"/>
    <w:multiLevelType w:val="multilevel"/>
    <w:tmpl w:val="710E902A"/>
    <w:numStyleLink w:val="ListNumber"/>
  </w:abstractNum>
  <w:abstractNum w:abstractNumId="19" w15:restartNumberingAfterBreak="0">
    <w:nsid w:val="40071FAE"/>
    <w:multiLevelType w:val="multilevel"/>
    <w:tmpl w:val="5D3082C6"/>
    <w:styleLink w:val="ListNumberedHeadings"/>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pStyle w:val="AltHeading5"/>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2CA0B21"/>
    <w:multiLevelType w:val="multilevel"/>
    <w:tmpl w:val="3BDA6F38"/>
    <w:numStyleLink w:val="ListTableBullet"/>
  </w:abstractNum>
  <w:abstractNum w:abstractNumId="21" w15:restartNumberingAfterBreak="0">
    <w:nsid w:val="43252569"/>
    <w:multiLevelType w:val="multilevel"/>
    <w:tmpl w:val="FB9877D6"/>
    <w:numStyleLink w:val="ListAlpha"/>
  </w:abstractNum>
  <w:abstractNum w:abstractNumId="22" w15:restartNumberingAfterBreak="0">
    <w:nsid w:val="43943ACB"/>
    <w:multiLevelType w:val="multilevel"/>
    <w:tmpl w:val="6564150A"/>
    <w:numStyleLink w:val="ListBullet"/>
  </w:abstractNum>
  <w:abstractNum w:abstractNumId="23" w15:restartNumberingAfterBreak="0">
    <w:nsid w:val="46667323"/>
    <w:multiLevelType w:val="multilevel"/>
    <w:tmpl w:val="89A4C894"/>
    <w:numStyleLink w:val="ListNbrHeading"/>
  </w:abstractNum>
  <w:abstractNum w:abstractNumId="24" w15:restartNumberingAfterBreak="0">
    <w:nsid w:val="59EF62A6"/>
    <w:multiLevelType w:val="multilevel"/>
    <w:tmpl w:val="11C6432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A8D22FB"/>
    <w:multiLevelType w:val="multilevel"/>
    <w:tmpl w:val="6564150A"/>
    <w:numStyleLink w:val="ListBullet"/>
  </w:abstractNum>
  <w:abstractNum w:abstractNumId="26" w15:restartNumberingAfterBreak="0">
    <w:nsid w:val="645C7C6B"/>
    <w:multiLevelType w:val="multilevel"/>
    <w:tmpl w:val="07F80B6A"/>
    <w:numStyleLink w:val="ListTableNumber"/>
  </w:abstractNum>
  <w:abstractNum w:abstractNumId="27" w15:restartNumberingAfterBreak="0">
    <w:nsid w:val="64E1647A"/>
    <w:multiLevelType w:val="multilevel"/>
    <w:tmpl w:val="710E902A"/>
    <w:numStyleLink w:val="ListNumber"/>
  </w:abstractNum>
  <w:abstractNum w:abstractNumId="28" w15:restartNumberingAfterBreak="0">
    <w:nsid w:val="7139706E"/>
    <w:multiLevelType w:val="multilevel"/>
    <w:tmpl w:val="E0DA9754"/>
    <w:numStyleLink w:val="ListParagraph0"/>
  </w:abstractNum>
  <w:abstractNum w:abstractNumId="29" w15:restartNumberingAfterBreak="0">
    <w:nsid w:val="714E12D9"/>
    <w:multiLevelType w:val="multilevel"/>
    <w:tmpl w:val="3BDA6F38"/>
    <w:numStyleLink w:val="ListTableBullet"/>
  </w:abstractNum>
  <w:abstractNum w:abstractNumId="30" w15:restartNumberingAfterBreak="0">
    <w:nsid w:val="753372EF"/>
    <w:multiLevelType w:val="multilevel"/>
    <w:tmpl w:val="FB9877D6"/>
    <w:numStyleLink w:val="ListAlpha"/>
  </w:abstractNum>
  <w:abstractNum w:abstractNumId="31" w15:restartNumberingAfterBreak="0">
    <w:nsid w:val="79057860"/>
    <w:multiLevelType w:val="multilevel"/>
    <w:tmpl w:val="6564150A"/>
    <w:numStyleLink w:val="ListBullet"/>
  </w:abstractNum>
  <w:abstractNum w:abstractNumId="32" w15:restartNumberingAfterBreak="0">
    <w:nsid w:val="790C2342"/>
    <w:multiLevelType w:val="hybridMultilevel"/>
    <w:tmpl w:val="5080AD40"/>
    <w:lvl w:ilvl="0" w:tplc="0C090001">
      <w:start w:val="1"/>
      <w:numFmt w:val="bullet"/>
      <w:lvlText w:val=""/>
      <w:lvlJc w:val="left"/>
      <w:rPr>
        <w:rFonts w:ascii="Symbol" w:hAnsi="Symbol" w:hint="default"/>
      </w:rPr>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num w:numId="1">
    <w:abstractNumId w:val="6"/>
  </w:num>
  <w:num w:numId="2">
    <w:abstractNumId w:val="17"/>
  </w:num>
  <w:num w:numId="3">
    <w:abstractNumId w:val="11"/>
  </w:num>
  <w:num w:numId="4">
    <w:abstractNumId w:val="19"/>
  </w:num>
  <w:num w:numId="5">
    <w:abstractNumId w:val="1"/>
  </w:num>
  <w:num w:numId="6">
    <w:abstractNumId w:val="28"/>
  </w:num>
  <w:num w:numId="7">
    <w:abstractNumId w:val="10"/>
  </w:num>
  <w:num w:numId="8">
    <w:abstractNumId w:val="4"/>
  </w:num>
  <w:num w:numId="9">
    <w:abstractNumId w:val="7"/>
  </w:num>
  <w:num w:numId="10">
    <w:abstractNumId w:val="8"/>
  </w:num>
  <w:num w:numId="11">
    <w:abstractNumId w:val="9"/>
  </w:num>
  <w:num w:numId="12">
    <w:abstractNumId w:val="3"/>
  </w:num>
  <w:num w:numId="13">
    <w:abstractNumId w:val="12"/>
  </w:num>
  <w:num w:numId="14">
    <w:abstractNumId w:val="14"/>
  </w:num>
  <w:num w:numId="15">
    <w:abstractNumId w:val="20"/>
  </w:num>
  <w:num w:numId="16">
    <w:abstractNumId w:val="26"/>
  </w:num>
  <w:num w:numId="17">
    <w:abstractNumId w:val="16"/>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5"/>
  </w:num>
  <w:num w:numId="21">
    <w:abstractNumId w:val="18"/>
  </w:num>
  <w:num w:numId="22">
    <w:abstractNumId w:val="31"/>
  </w:num>
  <w:num w:numId="23">
    <w:abstractNumId w:val="21"/>
  </w:num>
  <w:num w:numId="24">
    <w:abstractNumId w:val="29"/>
  </w:num>
  <w:num w:numId="25">
    <w:abstractNumId w:val="25"/>
  </w:num>
  <w:num w:numId="26">
    <w:abstractNumId w:val="0"/>
  </w:num>
  <w:num w:numId="27">
    <w:abstractNumId w:val="27"/>
  </w:num>
  <w:num w:numId="28">
    <w:abstractNumId w:val="22"/>
  </w:num>
  <w:num w:numId="29">
    <w:abstractNumId w:val="30"/>
  </w:num>
  <w:num w:numId="30">
    <w:abstractNumId w:val="2"/>
  </w:num>
  <w:num w:numId="31">
    <w:abstractNumId w:val="32"/>
  </w:num>
  <w:num w:numId="32">
    <w:abstractNumId w:val="24"/>
  </w:num>
  <w:num w:numId="33">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281"/>
    <w:rsid w:val="00006100"/>
    <w:rsid w:val="00011234"/>
    <w:rsid w:val="0001475E"/>
    <w:rsid w:val="00015A7B"/>
    <w:rsid w:val="000234D6"/>
    <w:rsid w:val="000268D3"/>
    <w:rsid w:val="000270B5"/>
    <w:rsid w:val="0003208D"/>
    <w:rsid w:val="000355C2"/>
    <w:rsid w:val="00037A12"/>
    <w:rsid w:val="00037F71"/>
    <w:rsid w:val="000400AD"/>
    <w:rsid w:val="00041ED1"/>
    <w:rsid w:val="000502EC"/>
    <w:rsid w:val="000506E5"/>
    <w:rsid w:val="00055133"/>
    <w:rsid w:val="00060F1A"/>
    <w:rsid w:val="00064961"/>
    <w:rsid w:val="00064DC6"/>
    <w:rsid w:val="00071C7D"/>
    <w:rsid w:val="000721BA"/>
    <w:rsid w:val="00074335"/>
    <w:rsid w:val="00074D83"/>
    <w:rsid w:val="00074EA1"/>
    <w:rsid w:val="00076F97"/>
    <w:rsid w:val="000870BB"/>
    <w:rsid w:val="00087D93"/>
    <w:rsid w:val="00090ADA"/>
    <w:rsid w:val="00097E84"/>
    <w:rsid w:val="000A0344"/>
    <w:rsid w:val="000A0F50"/>
    <w:rsid w:val="000A1826"/>
    <w:rsid w:val="000B0BF3"/>
    <w:rsid w:val="000B3EBE"/>
    <w:rsid w:val="000C0C22"/>
    <w:rsid w:val="000C1D1E"/>
    <w:rsid w:val="000C6688"/>
    <w:rsid w:val="000C6926"/>
    <w:rsid w:val="000C7AE2"/>
    <w:rsid w:val="000D0350"/>
    <w:rsid w:val="000D19C6"/>
    <w:rsid w:val="000D4264"/>
    <w:rsid w:val="000D58F8"/>
    <w:rsid w:val="000D6862"/>
    <w:rsid w:val="000E0BF5"/>
    <w:rsid w:val="000E1433"/>
    <w:rsid w:val="000E2AF0"/>
    <w:rsid w:val="000E315C"/>
    <w:rsid w:val="000E4A3C"/>
    <w:rsid w:val="000E6CF9"/>
    <w:rsid w:val="000F41CE"/>
    <w:rsid w:val="000F4A35"/>
    <w:rsid w:val="001002A2"/>
    <w:rsid w:val="001006E2"/>
    <w:rsid w:val="001063C6"/>
    <w:rsid w:val="00113E69"/>
    <w:rsid w:val="00114A64"/>
    <w:rsid w:val="00117435"/>
    <w:rsid w:val="001225FD"/>
    <w:rsid w:val="00126BBF"/>
    <w:rsid w:val="0013218E"/>
    <w:rsid w:val="00133F59"/>
    <w:rsid w:val="00145CCD"/>
    <w:rsid w:val="00146770"/>
    <w:rsid w:val="001505D8"/>
    <w:rsid w:val="00152D64"/>
    <w:rsid w:val="00154790"/>
    <w:rsid w:val="00155F51"/>
    <w:rsid w:val="001561DB"/>
    <w:rsid w:val="00156423"/>
    <w:rsid w:val="00157E91"/>
    <w:rsid w:val="001600E5"/>
    <w:rsid w:val="001618FF"/>
    <w:rsid w:val="00162D13"/>
    <w:rsid w:val="00165FBB"/>
    <w:rsid w:val="001713F7"/>
    <w:rsid w:val="001733F1"/>
    <w:rsid w:val="00174A2C"/>
    <w:rsid w:val="001829A7"/>
    <w:rsid w:val="00185154"/>
    <w:rsid w:val="00187473"/>
    <w:rsid w:val="0019114D"/>
    <w:rsid w:val="00195A69"/>
    <w:rsid w:val="001968D6"/>
    <w:rsid w:val="001A1E0F"/>
    <w:rsid w:val="001A4FD3"/>
    <w:rsid w:val="001A7814"/>
    <w:rsid w:val="001B0D37"/>
    <w:rsid w:val="001C23AF"/>
    <w:rsid w:val="001C2C26"/>
    <w:rsid w:val="001C2FCC"/>
    <w:rsid w:val="001C5CA0"/>
    <w:rsid w:val="001C6E79"/>
    <w:rsid w:val="001D0A2E"/>
    <w:rsid w:val="001D15C4"/>
    <w:rsid w:val="001D2FBE"/>
    <w:rsid w:val="001E2834"/>
    <w:rsid w:val="001F16CA"/>
    <w:rsid w:val="001F1FE1"/>
    <w:rsid w:val="00200405"/>
    <w:rsid w:val="00206554"/>
    <w:rsid w:val="002078C1"/>
    <w:rsid w:val="002106C4"/>
    <w:rsid w:val="00210DEF"/>
    <w:rsid w:val="00216806"/>
    <w:rsid w:val="00220984"/>
    <w:rsid w:val="002216C7"/>
    <w:rsid w:val="00222215"/>
    <w:rsid w:val="00223D0C"/>
    <w:rsid w:val="002300E6"/>
    <w:rsid w:val="00231DE3"/>
    <w:rsid w:val="002332B6"/>
    <w:rsid w:val="00244D68"/>
    <w:rsid w:val="00250DC2"/>
    <w:rsid w:val="0025119D"/>
    <w:rsid w:val="00252201"/>
    <w:rsid w:val="002527D9"/>
    <w:rsid w:val="00254DD8"/>
    <w:rsid w:val="00254F8B"/>
    <w:rsid w:val="0025623D"/>
    <w:rsid w:val="00261BF8"/>
    <w:rsid w:val="002649AA"/>
    <w:rsid w:val="00266112"/>
    <w:rsid w:val="00270DC8"/>
    <w:rsid w:val="00273078"/>
    <w:rsid w:val="00273EA5"/>
    <w:rsid w:val="00275780"/>
    <w:rsid w:val="00281287"/>
    <w:rsid w:val="00283DFB"/>
    <w:rsid w:val="0028733E"/>
    <w:rsid w:val="0029679A"/>
    <w:rsid w:val="0029696A"/>
    <w:rsid w:val="002A345C"/>
    <w:rsid w:val="002A69C1"/>
    <w:rsid w:val="002B3138"/>
    <w:rsid w:val="002B4003"/>
    <w:rsid w:val="002C4AA0"/>
    <w:rsid w:val="002C5B1C"/>
    <w:rsid w:val="002D1281"/>
    <w:rsid w:val="002D170B"/>
    <w:rsid w:val="002D340B"/>
    <w:rsid w:val="002D4254"/>
    <w:rsid w:val="002D4E6E"/>
    <w:rsid w:val="002D6D68"/>
    <w:rsid w:val="002E00E4"/>
    <w:rsid w:val="002F173C"/>
    <w:rsid w:val="002F5EB5"/>
    <w:rsid w:val="002F7524"/>
    <w:rsid w:val="00300F3E"/>
    <w:rsid w:val="00301893"/>
    <w:rsid w:val="0030336F"/>
    <w:rsid w:val="00306A05"/>
    <w:rsid w:val="00311086"/>
    <w:rsid w:val="003153A6"/>
    <w:rsid w:val="00321B3C"/>
    <w:rsid w:val="0032249E"/>
    <w:rsid w:val="0032534E"/>
    <w:rsid w:val="003264B5"/>
    <w:rsid w:val="0033105E"/>
    <w:rsid w:val="0033406A"/>
    <w:rsid w:val="00335448"/>
    <w:rsid w:val="00337CD2"/>
    <w:rsid w:val="0034070F"/>
    <w:rsid w:val="003411DD"/>
    <w:rsid w:val="003450B7"/>
    <w:rsid w:val="00354AE0"/>
    <w:rsid w:val="003555A2"/>
    <w:rsid w:val="0035787A"/>
    <w:rsid w:val="003579FE"/>
    <w:rsid w:val="00360E19"/>
    <w:rsid w:val="0036314C"/>
    <w:rsid w:val="00365E70"/>
    <w:rsid w:val="00371D9C"/>
    <w:rsid w:val="0037338E"/>
    <w:rsid w:val="0037398C"/>
    <w:rsid w:val="0037618F"/>
    <w:rsid w:val="003853C1"/>
    <w:rsid w:val="00385435"/>
    <w:rsid w:val="00391A89"/>
    <w:rsid w:val="00392807"/>
    <w:rsid w:val="003944FA"/>
    <w:rsid w:val="00396A76"/>
    <w:rsid w:val="003A04C1"/>
    <w:rsid w:val="003A08A5"/>
    <w:rsid w:val="003A29B8"/>
    <w:rsid w:val="003B0945"/>
    <w:rsid w:val="003B097F"/>
    <w:rsid w:val="003B11D5"/>
    <w:rsid w:val="003B2D3D"/>
    <w:rsid w:val="003B4DCF"/>
    <w:rsid w:val="003B5532"/>
    <w:rsid w:val="003B6ED6"/>
    <w:rsid w:val="003C00D1"/>
    <w:rsid w:val="003C0976"/>
    <w:rsid w:val="003C1240"/>
    <w:rsid w:val="003C1D5D"/>
    <w:rsid w:val="003C24EF"/>
    <w:rsid w:val="003D2637"/>
    <w:rsid w:val="003D3B71"/>
    <w:rsid w:val="003D3EDB"/>
    <w:rsid w:val="003D42F2"/>
    <w:rsid w:val="003D4C92"/>
    <w:rsid w:val="003D56AF"/>
    <w:rsid w:val="003D623E"/>
    <w:rsid w:val="003D6AF7"/>
    <w:rsid w:val="003E1EF3"/>
    <w:rsid w:val="003E5319"/>
    <w:rsid w:val="003F01DE"/>
    <w:rsid w:val="003F3C30"/>
    <w:rsid w:val="003F500B"/>
    <w:rsid w:val="003F781B"/>
    <w:rsid w:val="004034D5"/>
    <w:rsid w:val="00404615"/>
    <w:rsid w:val="00407776"/>
    <w:rsid w:val="00414495"/>
    <w:rsid w:val="00422EDE"/>
    <w:rsid w:val="004243DD"/>
    <w:rsid w:val="00427353"/>
    <w:rsid w:val="0042770B"/>
    <w:rsid w:val="0043398B"/>
    <w:rsid w:val="0043564D"/>
    <w:rsid w:val="0043628A"/>
    <w:rsid w:val="00437736"/>
    <w:rsid w:val="00444AE6"/>
    <w:rsid w:val="004478FD"/>
    <w:rsid w:val="00455E28"/>
    <w:rsid w:val="00456E5D"/>
    <w:rsid w:val="0046309C"/>
    <w:rsid w:val="004648BE"/>
    <w:rsid w:val="004700B3"/>
    <w:rsid w:val="00472883"/>
    <w:rsid w:val="00473623"/>
    <w:rsid w:val="00477D1D"/>
    <w:rsid w:val="00484865"/>
    <w:rsid w:val="00490A89"/>
    <w:rsid w:val="00491C59"/>
    <w:rsid w:val="00492BB1"/>
    <w:rsid w:val="00492C75"/>
    <w:rsid w:val="00492EF4"/>
    <w:rsid w:val="004932AF"/>
    <w:rsid w:val="00493A91"/>
    <w:rsid w:val="00497AD5"/>
    <w:rsid w:val="004A1871"/>
    <w:rsid w:val="004A4847"/>
    <w:rsid w:val="004B0027"/>
    <w:rsid w:val="004B154E"/>
    <w:rsid w:val="004B20CE"/>
    <w:rsid w:val="004B3E2E"/>
    <w:rsid w:val="004B4302"/>
    <w:rsid w:val="004B76C1"/>
    <w:rsid w:val="004B7DAE"/>
    <w:rsid w:val="004C35CA"/>
    <w:rsid w:val="004C7045"/>
    <w:rsid w:val="004D2BF6"/>
    <w:rsid w:val="004D48A9"/>
    <w:rsid w:val="004D59AF"/>
    <w:rsid w:val="004D7421"/>
    <w:rsid w:val="004D78F3"/>
    <w:rsid w:val="004E702C"/>
    <w:rsid w:val="004E79A4"/>
    <w:rsid w:val="004F0CA0"/>
    <w:rsid w:val="004F2A3C"/>
    <w:rsid w:val="004F3D6F"/>
    <w:rsid w:val="004F3F91"/>
    <w:rsid w:val="004F5EFD"/>
    <w:rsid w:val="004F767D"/>
    <w:rsid w:val="00503946"/>
    <w:rsid w:val="0050742F"/>
    <w:rsid w:val="0051056D"/>
    <w:rsid w:val="00510BBC"/>
    <w:rsid w:val="00512BE5"/>
    <w:rsid w:val="00517234"/>
    <w:rsid w:val="005244CE"/>
    <w:rsid w:val="00526F38"/>
    <w:rsid w:val="00527D08"/>
    <w:rsid w:val="00531E05"/>
    <w:rsid w:val="005330EF"/>
    <w:rsid w:val="005331C9"/>
    <w:rsid w:val="00535BC0"/>
    <w:rsid w:val="005406B9"/>
    <w:rsid w:val="00540A28"/>
    <w:rsid w:val="00540AE5"/>
    <w:rsid w:val="005430C3"/>
    <w:rsid w:val="005449B3"/>
    <w:rsid w:val="0055219D"/>
    <w:rsid w:val="0055353F"/>
    <w:rsid w:val="0056220D"/>
    <w:rsid w:val="00562672"/>
    <w:rsid w:val="0056359A"/>
    <w:rsid w:val="0056633F"/>
    <w:rsid w:val="0056652E"/>
    <w:rsid w:val="00570334"/>
    <w:rsid w:val="005713E5"/>
    <w:rsid w:val="00572597"/>
    <w:rsid w:val="005765BB"/>
    <w:rsid w:val="00577E6C"/>
    <w:rsid w:val="005840F1"/>
    <w:rsid w:val="0058415D"/>
    <w:rsid w:val="005841AA"/>
    <w:rsid w:val="00584E2C"/>
    <w:rsid w:val="005856AA"/>
    <w:rsid w:val="00586284"/>
    <w:rsid w:val="005A435A"/>
    <w:rsid w:val="005A6044"/>
    <w:rsid w:val="005A6C5F"/>
    <w:rsid w:val="005B0C40"/>
    <w:rsid w:val="005B46D9"/>
    <w:rsid w:val="005B4A15"/>
    <w:rsid w:val="005B4FDB"/>
    <w:rsid w:val="005C49EC"/>
    <w:rsid w:val="005C5025"/>
    <w:rsid w:val="005D040B"/>
    <w:rsid w:val="005D34FB"/>
    <w:rsid w:val="005D425C"/>
    <w:rsid w:val="005D4884"/>
    <w:rsid w:val="005D620B"/>
    <w:rsid w:val="005E0FB0"/>
    <w:rsid w:val="005E259B"/>
    <w:rsid w:val="005E550A"/>
    <w:rsid w:val="005F25BB"/>
    <w:rsid w:val="005F4A4D"/>
    <w:rsid w:val="00600607"/>
    <w:rsid w:val="00600FB2"/>
    <w:rsid w:val="00600FCD"/>
    <w:rsid w:val="006017D4"/>
    <w:rsid w:val="006025ED"/>
    <w:rsid w:val="0061089F"/>
    <w:rsid w:val="0061616B"/>
    <w:rsid w:val="00623578"/>
    <w:rsid w:val="00632E6B"/>
    <w:rsid w:val="00633235"/>
    <w:rsid w:val="00637DAA"/>
    <w:rsid w:val="00646AF7"/>
    <w:rsid w:val="0065325A"/>
    <w:rsid w:val="00655AFF"/>
    <w:rsid w:val="006565B5"/>
    <w:rsid w:val="00663A28"/>
    <w:rsid w:val="00664C11"/>
    <w:rsid w:val="0066502F"/>
    <w:rsid w:val="00671576"/>
    <w:rsid w:val="00672A66"/>
    <w:rsid w:val="00674316"/>
    <w:rsid w:val="00674FA6"/>
    <w:rsid w:val="00675405"/>
    <w:rsid w:val="00676407"/>
    <w:rsid w:val="00680515"/>
    <w:rsid w:val="00680785"/>
    <w:rsid w:val="006814A9"/>
    <w:rsid w:val="00684563"/>
    <w:rsid w:val="006853A6"/>
    <w:rsid w:val="00691A8E"/>
    <w:rsid w:val="006A1801"/>
    <w:rsid w:val="006A39D1"/>
    <w:rsid w:val="006A4312"/>
    <w:rsid w:val="006A6645"/>
    <w:rsid w:val="006B2E5A"/>
    <w:rsid w:val="006B3ED8"/>
    <w:rsid w:val="006C0C01"/>
    <w:rsid w:val="006C2A84"/>
    <w:rsid w:val="006C324D"/>
    <w:rsid w:val="006C4332"/>
    <w:rsid w:val="006C716E"/>
    <w:rsid w:val="006D22C5"/>
    <w:rsid w:val="006D319F"/>
    <w:rsid w:val="006D3476"/>
    <w:rsid w:val="006E1BDE"/>
    <w:rsid w:val="006E47E3"/>
    <w:rsid w:val="006E5575"/>
    <w:rsid w:val="006E6167"/>
    <w:rsid w:val="006F2463"/>
    <w:rsid w:val="007052F6"/>
    <w:rsid w:val="0070574B"/>
    <w:rsid w:val="0071089A"/>
    <w:rsid w:val="0071110A"/>
    <w:rsid w:val="007125B6"/>
    <w:rsid w:val="00713755"/>
    <w:rsid w:val="00715EEF"/>
    <w:rsid w:val="00722210"/>
    <w:rsid w:val="00732F33"/>
    <w:rsid w:val="00736C7D"/>
    <w:rsid w:val="00752F39"/>
    <w:rsid w:val="007546DB"/>
    <w:rsid w:val="00760D50"/>
    <w:rsid w:val="00766FC8"/>
    <w:rsid w:val="00770BF1"/>
    <w:rsid w:val="00770DDB"/>
    <w:rsid w:val="00771392"/>
    <w:rsid w:val="0077323A"/>
    <w:rsid w:val="00773CE2"/>
    <w:rsid w:val="00774033"/>
    <w:rsid w:val="00774E81"/>
    <w:rsid w:val="0077525D"/>
    <w:rsid w:val="00782626"/>
    <w:rsid w:val="00782B0C"/>
    <w:rsid w:val="00782BA8"/>
    <w:rsid w:val="007856BE"/>
    <w:rsid w:val="0079176E"/>
    <w:rsid w:val="007A069F"/>
    <w:rsid w:val="007A5346"/>
    <w:rsid w:val="007A56CB"/>
    <w:rsid w:val="007C3FE3"/>
    <w:rsid w:val="007C424A"/>
    <w:rsid w:val="007E0230"/>
    <w:rsid w:val="007F35C0"/>
    <w:rsid w:val="00801AF0"/>
    <w:rsid w:val="008037FC"/>
    <w:rsid w:val="00805AFD"/>
    <w:rsid w:val="00811D72"/>
    <w:rsid w:val="0081332F"/>
    <w:rsid w:val="00814D34"/>
    <w:rsid w:val="0081646E"/>
    <w:rsid w:val="008176B8"/>
    <w:rsid w:val="00822503"/>
    <w:rsid w:val="0082340E"/>
    <w:rsid w:val="008258F1"/>
    <w:rsid w:val="00825E45"/>
    <w:rsid w:val="00826A9D"/>
    <w:rsid w:val="00826BC8"/>
    <w:rsid w:val="00827553"/>
    <w:rsid w:val="008307CD"/>
    <w:rsid w:val="00832CAB"/>
    <w:rsid w:val="00833868"/>
    <w:rsid w:val="00837034"/>
    <w:rsid w:val="00837805"/>
    <w:rsid w:val="0084473C"/>
    <w:rsid w:val="00845732"/>
    <w:rsid w:val="008511C1"/>
    <w:rsid w:val="008521D6"/>
    <w:rsid w:val="00852281"/>
    <w:rsid w:val="008572D9"/>
    <w:rsid w:val="00861E13"/>
    <w:rsid w:val="0086496D"/>
    <w:rsid w:val="00865D95"/>
    <w:rsid w:val="00870C47"/>
    <w:rsid w:val="0087197A"/>
    <w:rsid w:val="00880F59"/>
    <w:rsid w:val="00882975"/>
    <w:rsid w:val="008869B1"/>
    <w:rsid w:val="00892496"/>
    <w:rsid w:val="00893304"/>
    <w:rsid w:val="008A12A5"/>
    <w:rsid w:val="008A5D9A"/>
    <w:rsid w:val="008A6F22"/>
    <w:rsid w:val="008B07DE"/>
    <w:rsid w:val="008B42C4"/>
    <w:rsid w:val="008B5D8F"/>
    <w:rsid w:val="008B661B"/>
    <w:rsid w:val="008B75A6"/>
    <w:rsid w:val="008C24F7"/>
    <w:rsid w:val="008C5C5A"/>
    <w:rsid w:val="008D3477"/>
    <w:rsid w:val="008D375F"/>
    <w:rsid w:val="008D7B00"/>
    <w:rsid w:val="008E2ADD"/>
    <w:rsid w:val="008E2E4A"/>
    <w:rsid w:val="008E5E39"/>
    <w:rsid w:val="008E694C"/>
    <w:rsid w:val="008F3F60"/>
    <w:rsid w:val="008F4E0B"/>
    <w:rsid w:val="00900F3F"/>
    <w:rsid w:val="00904869"/>
    <w:rsid w:val="00912832"/>
    <w:rsid w:val="009137AE"/>
    <w:rsid w:val="0091555E"/>
    <w:rsid w:val="009233E1"/>
    <w:rsid w:val="00923CEF"/>
    <w:rsid w:val="00924B13"/>
    <w:rsid w:val="00932FBF"/>
    <w:rsid w:val="00934BF4"/>
    <w:rsid w:val="00936CEB"/>
    <w:rsid w:val="00944CFE"/>
    <w:rsid w:val="0094722A"/>
    <w:rsid w:val="00950067"/>
    <w:rsid w:val="009553E6"/>
    <w:rsid w:val="009571D7"/>
    <w:rsid w:val="009607A4"/>
    <w:rsid w:val="00961A59"/>
    <w:rsid w:val="009956A4"/>
    <w:rsid w:val="00996C7F"/>
    <w:rsid w:val="009975E2"/>
    <w:rsid w:val="009A0D3A"/>
    <w:rsid w:val="009A1344"/>
    <w:rsid w:val="009A199C"/>
    <w:rsid w:val="009A52C5"/>
    <w:rsid w:val="009A57D4"/>
    <w:rsid w:val="009A6397"/>
    <w:rsid w:val="009A6D2D"/>
    <w:rsid w:val="009A76B9"/>
    <w:rsid w:val="009B05E7"/>
    <w:rsid w:val="009B655F"/>
    <w:rsid w:val="009C1E73"/>
    <w:rsid w:val="009C5763"/>
    <w:rsid w:val="009D1C58"/>
    <w:rsid w:val="009D4B09"/>
    <w:rsid w:val="009D4C62"/>
    <w:rsid w:val="009D7545"/>
    <w:rsid w:val="009D7E90"/>
    <w:rsid w:val="009E299B"/>
    <w:rsid w:val="009E78D3"/>
    <w:rsid w:val="009F049D"/>
    <w:rsid w:val="009F3612"/>
    <w:rsid w:val="009F6CE7"/>
    <w:rsid w:val="00A027E4"/>
    <w:rsid w:val="00A068B8"/>
    <w:rsid w:val="00A070DB"/>
    <w:rsid w:val="00A07960"/>
    <w:rsid w:val="00A1259D"/>
    <w:rsid w:val="00A1594E"/>
    <w:rsid w:val="00A17A1E"/>
    <w:rsid w:val="00A21117"/>
    <w:rsid w:val="00A24711"/>
    <w:rsid w:val="00A35AA5"/>
    <w:rsid w:val="00A41250"/>
    <w:rsid w:val="00A41D4E"/>
    <w:rsid w:val="00A47FBB"/>
    <w:rsid w:val="00A50979"/>
    <w:rsid w:val="00A52A8F"/>
    <w:rsid w:val="00A54899"/>
    <w:rsid w:val="00A61256"/>
    <w:rsid w:val="00A640FF"/>
    <w:rsid w:val="00A648A5"/>
    <w:rsid w:val="00A7008A"/>
    <w:rsid w:val="00A70F9C"/>
    <w:rsid w:val="00A76D7A"/>
    <w:rsid w:val="00A77DA6"/>
    <w:rsid w:val="00A83B38"/>
    <w:rsid w:val="00A85EBC"/>
    <w:rsid w:val="00A919ED"/>
    <w:rsid w:val="00A91A08"/>
    <w:rsid w:val="00A94BF8"/>
    <w:rsid w:val="00A94E91"/>
    <w:rsid w:val="00A951DD"/>
    <w:rsid w:val="00A971C0"/>
    <w:rsid w:val="00A97AF1"/>
    <w:rsid w:val="00AA21DA"/>
    <w:rsid w:val="00AA26CE"/>
    <w:rsid w:val="00AA6010"/>
    <w:rsid w:val="00AA7CEA"/>
    <w:rsid w:val="00AC45DA"/>
    <w:rsid w:val="00AD0B4C"/>
    <w:rsid w:val="00AD3EE2"/>
    <w:rsid w:val="00AD4668"/>
    <w:rsid w:val="00AD5541"/>
    <w:rsid w:val="00AD6EC2"/>
    <w:rsid w:val="00AE280E"/>
    <w:rsid w:val="00AE4C26"/>
    <w:rsid w:val="00AE6732"/>
    <w:rsid w:val="00AF1A67"/>
    <w:rsid w:val="00AF1D30"/>
    <w:rsid w:val="00AF2204"/>
    <w:rsid w:val="00AF358B"/>
    <w:rsid w:val="00AF386B"/>
    <w:rsid w:val="00AF3EFC"/>
    <w:rsid w:val="00AF549C"/>
    <w:rsid w:val="00B012F3"/>
    <w:rsid w:val="00B06AD1"/>
    <w:rsid w:val="00B1273F"/>
    <w:rsid w:val="00B1736B"/>
    <w:rsid w:val="00B203DE"/>
    <w:rsid w:val="00B21841"/>
    <w:rsid w:val="00B22F2F"/>
    <w:rsid w:val="00B23B05"/>
    <w:rsid w:val="00B2626B"/>
    <w:rsid w:val="00B2629E"/>
    <w:rsid w:val="00B27365"/>
    <w:rsid w:val="00B42515"/>
    <w:rsid w:val="00B46E6F"/>
    <w:rsid w:val="00B501C4"/>
    <w:rsid w:val="00B532EF"/>
    <w:rsid w:val="00B53493"/>
    <w:rsid w:val="00B5426C"/>
    <w:rsid w:val="00B55D18"/>
    <w:rsid w:val="00B55FD7"/>
    <w:rsid w:val="00B56CC8"/>
    <w:rsid w:val="00B57682"/>
    <w:rsid w:val="00B6399C"/>
    <w:rsid w:val="00B63BC1"/>
    <w:rsid w:val="00B648D5"/>
    <w:rsid w:val="00B65281"/>
    <w:rsid w:val="00B65436"/>
    <w:rsid w:val="00B668FB"/>
    <w:rsid w:val="00B66DE2"/>
    <w:rsid w:val="00B7108A"/>
    <w:rsid w:val="00B74BF1"/>
    <w:rsid w:val="00B76B8E"/>
    <w:rsid w:val="00B8062D"/>
    <w:rsid w:val="00B85AF9"/>
    <w:rsid w:val="00B86FB9"/>
    <w:rsid w:val="00B902E0"/>
    <w:rsid w:val="00B9151B"/>
    <w:rsid w:val="00B94C00"/>
    <w:rsid w:val="00B968A9"/>
    <w:rsid w:val="00BA05CD"/>
    <w:rsid w:val="00BA45AE"/>
    <w:rsid w:val="00BA4F4A"/>
    <w:rsid w:val="00BA66AD"/>
    <w:rsid w:val="00BB03A3"/>
    <w:rsid w:val="00BB5F6F"/>
    <w:rsid w:val="00BC2DD3"/>
    <w:rsid w:val="00BC67B1"/>
    <w:rsid w:val="00BD40A2"/>
    <w:rsid w:val="00BE12D2"/>
    <w:rsid w:val="00BE5419"/>
    <w:rsid w:val="00BF2C53"/>
    <w:rsid w:val="00BF63BD"/>
    <w:rsid w:val="00C000C3"/>
    <w:rsid w:val="00C02E60"/>
    <w:rsid w:val="00C03CA9"/>
    <w:rsid w:val="00C06B0C"/>
    <w:rsid w:val="00C06F12"/>
    <w:rsid w:val="00C070BA"/>
    <w:rsid w:val="00C114FC"/>
    <w:rsid w:val="00C12AF9"/>
    <w:rsid w:val="00C13494"/>
    <w:rsid w:val="00C17946"/>
    <w:rsid w:val="00C2174C"/>
    <w:rsid w:val="00C22229"/>
    <w:rsid w:val="00C22BF7"/>
    <w:rsid w:val="00C240FD"/>
    <w:rsid w:val="00C24374"/>
    <w:rsid w:val="00C302EF"/>
    <w:rsid w:val="00C31303"/>
    <w:rsid w:val="00C3545C"/>
    <w:rsid w:val="00C37ECB"/>
    <w:rsid w:val="00C41026"/>
    <w:rsid w:val="00C41A1F"/>
    <w:rsid w:val="00C41C88"/>
    <w:rsid w:val="00C44794"/>
    <w:rsid w:val="00C467F7"/>
    <w:rsid w:val="00C527CC"/>
    <w:rsid w:val="00C5311D"/>
    <w:rsid w:val="00C72AF9"/>
    <w:rsid w:val="00C74C53"/>
    <w:rsid w:val="00C75614"/>
    <w:rsid w:val="00C75E7C"/>
    <w:rsid w:val="00C77395"/>
    <w:rsid w:val="00C8103F"/>
    <w:rsid w:val="00C83A26"/>
    <w:rsid w:val="00C85555"/>
    <w:rsid w:val="00C85692"/>
    <w:rsid w:val="00C87519"/>
    <w:rsid w:val="00C90FD7"/>
    <w:rsid w:val="00C91E4E"/>
    <w:rsid w:val="00C92058"/>
    <w:rsid w:val="00C946B1"/>
    <w:rsid w:val="00C97431"/>
    <w:rsid w:val="00CA0119"/>
    <w:rsid w:val="00CA3941"/>
    <w:rsid w:val="00CA54B1"/>
    <w:rsid w:val="00CA6244"/>
    <w:rsid w:val="00CA7403"/>
    <w:rsid w:val="00CB00D9"/>
    <w:rsid w:val="00CB2D94"/>
    <w:rsid w:val="00CB356B"/>
    <w:rsid w:val="00CB3F54"/>
    <w:rsid w:val="00CB612D"/>
    <w:rsid w:val="00CB614A"/>
    <w:rsid w:val="00CC19DE"/>
    <w:rsid w:val="00CC3A40"/>
    <w:rsid w:val="00CC48C2"/>
    <w:rsid w:val="00CC6DA2"/>
    <w:rsid w:val="00CD1442"/>
    <w:rsid w:val="00CD2AEB"/>
    <w:rsid w:val="00CD5991"/>
    <w:rsid w:val="00CE2272"/>
    <w:rsid w:val="00CE38C8"/>
    <w:rsid w:val="00CF6955"/>
    <w:rsid w:val="00CF7981"/>
    <w:rsid w:val="00D0631D"/>
    <w:rsid w:val="00D06589"/>
    <w:rsid w:val="00D06A9A"/>
    <w:rsid w:val="00D07688"/>
    <w:rsid w:val="00D1007E"/>
    <w:rsid w:val="00D175CD"/>
    <w:rsid w:val="00D215AC"/>
    <w:rsid w:val="00D234D2"/>
    <w:rsid w:val="00D23746"/>
    <w:rsid w:val="00D241D3"/>
    <w:rsid w:val="00D242A5"/>
    <w:rsid w:val="00D253E1"/>
    <w:rsid w:val="00D26BC8"/>
    <w:rsid w:val="00D27FA8"/>
    <w:rsid w:val="00D33337"/>
    <w:rsid w:val="00D365D3"/>
    <w:rsid w:val="00D42E6B"/>
    <w:rsid w:val="00D42F7B"/>
    <w:rsid w:val="00D501F0"/>
    <w:rsid w:val="00D52241"/>
    <w:rsid w:val="00D55089"/>
    <w:rsid w:val="00D56A00"/>
    <w:rsid w:val="00D62A5D"/>
    <w:rsid w:val="00D63FCE"/>
    <w:rsid w:val="00D6507A"/>
    <w:rsid w:val="00D65143"/>
    <w:rsid w:val="00D65684"/>
    <w:rsid w:val="00D76540"/>
    <w:rsid w:val="00D839FB"/>
    <w:rsid w:val="00D87FF3"/>
    <w:rsid w:val="00D94530"/>
    <w:rsid w:val="00D94568"/>
    <w:rsid w:val="00D97265"/>
    <w:rsid w:val="00DA7157"/>
    <w:rsid w:val="00DA76FA"/>
    <w:rsid w:val="00DB2B49"/>
    <w:rsid w:val="00DB2C99"/>
    <w:rsid w:val="00DB7770"/>
    <w:rsid w:val="00DC0896"/>
    <w:rsid w:val="00DC1304"/>
    <w:rsid w:val="00DC166D"/>
    <w:rsid w:val="00DC28FE"/>
    <w:rsid w:val="00DC290C"/>
    <w:rsid w:val="00DC2D26"/>
    <w:rsid w:val="00DC33B4"/>
    <w:rsid w:val="00DC37D5"/>
    <w:rsid w:val="00DC3E10"/>
    <w:rsid w:val="00DD0157"/>
    <w:rsid w:val="00DD4656"/>
    <w:rsid w:val="00DD47C3"/>
    <w:rsid w:val="00DD6179"/>
    <w:rsid w:val="00DE16E4"/>
    <w:rsid w:val="00DE2354"/>
    <w:rsid w:val="00DE449A"/>
    <w:rsid w:val="00DF006A"/>
    <w:rsid w:val="00DF01DF"/>
    <w:rsid w:val="00DF336F"/>
    <w:rsid w:val="00DF3D45"/>
    <w:rsid w:val="00DF492F"/>
    <w:rsid w:val="00DF7628"/>
    <w:rsid w:val="00E018FB"/>
    <w:rsid w:val="00E02D8A"/>
    <w:rsid w:val="00E21DC0"/>
    <w:rsid w:val="00E2448E"/>
    <w:rsid w:val="00E27906"/>
    <w:rsid w:val="00E31C8B"/>
    <w:rsid w:val="00E31ED9"/>
    <w:rsid w:val="00E4034E"/>
    <w:rsid w:val="00E414A6"/>
    <w:rsid w:val="00E45B92"/>
    <w:rsid w:val="00E46449"/>
    <w:rsid w:val="00E469B2"/>
    <w:rsid w:val="00E47C46"/>
    <w:rsid w:val="00E6307F"/>
    <w:rsid w:val="00E65050"/>
    <w:rsid w:val="00E6763B"/>
    <w:rsid w:val="00E74255"/>
    <w:rsid w:val="00E764A5"/>
    <w:rsid w:val="00E843B1"/>
    <w:rsid w:val="00E84B54"/>
    <w:rsid w:val="00E948B3"/>
    <w:rsid w:val="00E95EA5"/>
    <w:rsid w:val="00EA0C9B"/>
    <w:rsid w:val="00EA2B49"/>
    <w:rsid w:val="00EA7E6E"/>
    <w:rsid w:val="00EB58BD"/>
    <w:rsid w:val="00EB60A2"/>
    <w:rsid w:val="00EB6176"/>
    <w:rsid w:val="00EB6C0E"/>
    <w:rsid w:val="00EC0FFC"/>
    <w:rsid w:val="00EC3E0E"/>
    <w:rsid w:val="00ED2E33"/>
    <w:rsid w:val="00ED3024"/>
    <w:rsid w:val="00ED71B6"/>
    <w:rsid w:val="00EE1528"/>
    <w:rsid w:val="00EF0E10"/>
    <w:rsid w:val="00EF2076"/>
    <w:rsid w:val="00EF2AFB"/>
    <w:rsid w:val="00EF4FEE"/>
    <w:rsid w:val="00EF71A5"/>
    <w:rsid w:val="00F04E6F"/>
    <w:rsid w:val="00F10608"/>
    <w:rsid w:val="00F1126E"/>
    <w:rsid w:val="00F21880"/>
    <w:rsid w:val="00F24062"/>
    <w:rsid w:val="00F25FCE"/>
    <w:rsid w:val="00F26306"/>
    <w:rsid w:val="00F31F69"/>
    <w:rsid w:val="00F37E1D"/>
    <w:rsid w:val="00F431FB"/>
    <w:rsid w:val="00F43479"/>
    <w:rsid w:val="00F4488E"/>
    <w:rsid w:val="00F511DD"/>
    <w:rsid w:val="00F51764"/>
    <w:rsid w:val="00F53ACB"/>
    <w:rsid w:val="00F55C78"/>
    <w:rsid w:val="00F60E46"/>
    <w:rsid w:val="00F6184E"/>
    <w:rsid w:val="00F618E1"/>
    <w:rsid w:val="00F63FE3"/>
    <w:rsid w:val="00F6636E"/>
    <w:rsid w:val="00F70FCF"/>
    <w:rsid w:val="00F726BD"/>
    <w:rsid w:val="00F8007E"/>
    <w:rsid w:val="00F81C8A"/>
    <w:rsid w:val="00F838ED"/>
    <w:rsid w:val="00F84805"/>
    <w:rsid w:val="00F92EA6"/>
    <w:rsid w:val="00F974FC"/>
    <w:rsid w:val="00FA1168"/>
    <w:rsid w:val="00FA2B02"/>
    <w:rsid w:val="00FA7E42"/>
    <w:rsid w:val="00FB0E66"/>
    <w:rsid w:val="00FB1115"/>
    <w:rsid w:val="00FB4AE4"/>
    <w:rsid w:val="00FC2054"/>
    <w:rsid w:val="00FD035D"/>
    <w:rsid w:val="00FD15CB"/>
    <w:rsid w:val="00FD22D6"/>
    <w:rsid w:val="00FD3352"/>
    <w:rsid w:val="00FD4056"/>
    <w:rsid w:val="00FD4244"/>
    <w:rsid w:val="00FE0DB2"/>
    <w:rsid w:val="00FE32FC"/>
    <w:rsid w:val="00FE352B"/>
    <w:rsid w:val="00FE54D1"/>
    <w:rsid w:val="00FF1DD9"/>
    <w:rsid w:val="00FF645A"/>
    <w:rsid w:val="050B1F04"/>
    <w:rsid w:val="06F1CFF0"/>
    <w:rsid w:val="0A2A738E"/>
    <w:rsid w:val="16B523F3"/>
    <w:rsid w:val="16C96557"/>
    <w:rsid w:val="19FB3FB6"/>
    <w:rsid w:val="20066DA1"/>
    <w:rsid w:val="220A247B"/>
    <w:rsid w:val="268DD1A9"/>
    <w:rsid w:val="26DE2D16"/>
    <w:rsid w:val="2D8597D6"/>
    <w:rsid w:val="3A97E47D"/>
    <w:rsid w:val="3C4D26F2"/>
    <w:rsid w:val="3CAC78E8"/>
    <w:rsid w:val="3DD1D1EA"/>
    <w:rsid w:val="3EEA0D61"/>
    <w:rsid w:val="3F6F4A4F"/>
    <w:rsid w:val="435E77F5"/>
    <w:rsid w:val="4394DD04"/>
    <w:rsid w:val="445257F4"/>
    <w:rsid w:val="48887344"/>
    <w:rsid w:val="4A68B11A"/>
    <w:rsid w:val="517496BB"/>
    <w:rsid w:val="52C59DE5"/>
    <w:rsid w:val="53BA5DED"/>
    <w:rsid w:val="54BEB335"/>
    <w:rsid w:val="55A51618"/>
    <w:rsid w:val="5739FD3F"/>
    <w:rsid w:val="5CF622C5"/>
    <w:rsid w:val="5D60DA96"/>
    <w:rsid w:val="5D73F090"/>
    <w:rsid w:val="5E341F1E"/>
    <w:rsid w:val="63B88754"/>
    <w:rsid w:val="6B592FC8"/>
    <w:rsid w:val="7E1499B5"/>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963FF1"/>
  <w14:defaultImageDpi w14:val="32767"/>
  <w15:docId w15:val="{E1194F89-74BC-40CD-B6F2-C8F9CD97C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lsdException w:name="heading 5" w:uiPriority="0" w:unhideWhenUsed="1"/>
    <w:lsdException w:name="heading 6" w:uiPriority="0" w:unhideWhenUsed="1" w:qFormat="1"/>
    <w:lsdException w:name="heading 7" w:semiHidden="1" w:uiPriority="0" w:unhideWhenUsed="1" w:qFormat="1"/>
    <w:lsdException w:name="heading 8" w:semiHidden="1" w:uiPriority="0" w:unhideWhenUsed="1" w:qFormat="1"/>
    <w:lsdException w:name="heading 9" w:semiHidden="1" w:uiPriority="1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6"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Strong" w:uiPriority="22"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semiHidden="1"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C75"/>
    <w:pPr>
      <w:spacing w:before="0" w:after="0"/>
    </w:pPr>
  </w:style>
  <w:style w:type="paragraph" w:styleId="Heading1">
    <w:name w:val="heading 1"/>
    <w:basedOn w:val="Normal"/>
    <w:next w:val="BodyText"/>
    <w:link w:val="Heading1Char"/>
    <w:qFormat/>
    <w:rsid w:val="00CB612D"/>
    <w:pPr>
      <w:keepLines/>
      <w:widowControl w:val="0"/>
      <w:spacing w:before="240" w:after="120"/>
      <w:outlineLvl w:val="0"/>
    </w:pPr>
    <w:rPr>
      <w:rFonts w:asciiTheme="majorHAnsi" w:eastAsia="Times New Roman" w:hAnsiTheme="majorHAnsi" w:cs="Arial"/>
      <w:b/>
      <w:bCs/>
      <w:color w:val="660066" w:themeColor="accent3"/>
      <w:kern w:val="32"/>
      <w:sz w:val="30"/>
      <w:szCs w:val="42"/>
      <w:lang w:eastAsia="en-AU"/>
    </w:rPr>
  </w:style>
  <w:style w:type="paragraph" w:styleId="Heading2">
    <w:name w:val="heading 2"/>
    <w:basedOn w:val="Normal"/>
    <w:next w:val="BodyText"/>
    <w:link w:val="Heading2Char"/>
    <w:qFormat/>
    <w:rsid w:val="00CB612D"/>
    <w:pPr>
      <w:keepNext/>
      <w:keepLines/>
      <w:spacing w:before="240" w:after="120"/>
      <w:outlineLvl w:val="1"/>
    </w:pPr>
    <w:rPr>
      <w:rFonts w:asciiTheme="majorHAnsi" w:eastAsia="Times New Roman" w:hAnsiTheme="majorHAnsi" w:cs="Arial"/>
      <w:b/>
      <w:bCs/>
      <w:iCs/>
      <w:color w:val="59595B"/>
      <w:sz w:val="26"/>
      <w:szCs w:val="28"/>
      <w:lang w:eastAsia="en-AU"/>
    </w:rPr>
  </w:style>
  <w:style w:type="paragraph" w:styleId="Heading3">
    <w:name w:val="heading 3"/>
    <w:basedOn w:val="Normal"/>
    <w:next w:val="BodyText"/>
    <w:link w:val="Heading3Char"/>
    <w:qFormat/>
    <w:rsid w:val="00CB612D"/>
    <w:pPr>
      <w:keepNext/>
      <w:keepLines/>
      <w:spacing w:before="180" w:after="120"/>
      <w:outlineLvl w:val="2"/>
    </w:pPr>
    <w:rPr>
      <w:rFonts w:asciiTheme="majorHAnsi" w:eastAsia="Times New Roman" w:hAnsiTheme="majorHAnsi" w:cs="Times New Roman"/>
      <w:b/>
      <w:bCs/>
      <w:szCs w:val="24"/>
      <w:lang w:eastAsia="en-AU"/>
    </w:rPr>
  </w:style>
  <w:style w:type="paragraph" w:styleId="Heading4">
    <w:name w:val="heading 4"/>
    <w:basedOn w:val="Normal"/>
    <w:next w:val="BodyText"/>
    <w:link w:val="Heading4Char"/>
    <w:rsid w:val="003B5532"/>
    <w:pPr>
      <w:spacing w:before="180" w:after="120"/>
      <w:outlineLvl w:val="3"/>
    </w:pPr>
    <w:rPr>
      <w:rFonts w:asciiTheme="majorHAnsi" w:eastAsia="Times New Roman" w:hAnsiTheme="majorHAnsi" w:cs="Times New Roman"/>
      <w:b/>
      <w:bCs/>
      <w:color w:val="59595B" w:themeColor="text2"/>
      <w:lang w:eastAsia="en-AU"/>
    </w:rPr>
  </w:style>
  <w:style w:type="paragraph" w:styleId="Heading5">
    <w:name w:val="heading 5"/>
    <w:basedOn w:val="Heading4"/>
    <w:next w:val="BodyText"/>
    <w:link w:val="Heading5Char"/>
    <w:rsid w:val="00B8062D"/>
    <w:pPr>
      <w:spacing w:before="120"/>
      <w:outlineLvl w:val="4"/>
    </w:pPr>
    <w:rPr>
      <w:b w:val="0"/>
      <w:i/>
      <w:color w:val="660066" w:themeColor="accent3"/>
      <w:szCs w:val="26"/>
    </w:rPr>
  </w:style>
  <w:style w:type="paragraph" w:styleId="Heading6">
    <w:name w:val="heading 6"/>
    <w:basedOn w:val="Normal"/>
    <w:next w:val="Normal"/>
    <w:link w:val="Heading6Char"/>
    <w:semiHidden/>
    <w:qFormat/>
    <w:rsid w:val="00444AE6"/>
    <w:pPr>
      <w:spacing w:before="120" w:after="120"/>
      <w:outlineLvl w:val="5"/>
    </w:pPr>
    <w:rPr>
      <w:rFonts w:eastAsia="Times New Roman" w:cs="Times New Roman"/>
      <w:bCs/>
      <w:lang w:eastAsia="en-AU"/>
    </w:rPr>
  </w:style>
  <w:style w:type="paragraph" w:styleId="Heading7">
    <w:name w:val="heading 7"/>
    <w:basedOn w:val="Normal"/>
    <w:next w:val="Normal"/>
    <w:link w:val="Heading7Char"/>
    <w:semiHidden/>
    <w:qFormat/>
    <w:rsid w:val="00D1007E"/>
    <w:pPr>
      <w:tabs>
        <w:tab w:val="num" w:pos="1296"/>
      </w:tabs>
      <w:spacing w:before="240" w:after="60"/>
      <w:ind w:left="1296" w:hanging="1296"/>
      <w:outlineLvl w:val="6"/>
    </w:pPr>
    <w:rPr>
      <w:rFonts w:ascii="Arial" w:eastAsia="Times New Roman" w:hAnsi="Arial" w:cs="Times New Roman"/>
      <w:sz w:val="20"/>
      <w:szCs w:val="20"/>
    </w:rPr>
  </w:style>
  <w:style w:type="paragraph" w:styleId="Heading8">
    <w:name w:val="heading 8"/>
    <w:basedOn w:val="Normal"/>
    <w:next w:val="Normal"/>
    <w:link w:val="Heading8Char"/>
    <w:semiHidden/>
    <w:qFormat/>
    <w:rsid w:val="00D1007E"/>
    <w:pPr>
      <w:tabs>
        <w:tab w:val="num" w:pos="1440"/>
      </w:tabs>
      <w:spacing w:before="240" w:after="60"/>
      <w:ind w:left="1440" w:hanging="1440"/>
      <w:outlineLvl w:val="7"/>
    </w:pPr>
    <w:rPr>
      <w:rFonts w:ascii="Arial" w:eastAsia="Times New Roman" w:hAnsi="Arial" w:cs="Times New Roman"/>
      <w:i/>
      <w:sz w:val="20"/>
      <w:szCs w:val="20"/>
    </w:rPr>
  </w:style>
  <w:style w:type="paragraph" w:styleId="Heading9">
    <w:name w:val="heading 9"/>
    <w:aliases w:val="Appendix H1"/>
    <w:basedOn w:val="Normal"/>
    <w:next w:val="Normal"/>
    <w:link w:val="Heading9Char"/>
    <w:uiPriority w:val="12"/>
    <w:semiHidden/>
    <w:qFormat/>
    <w:rsid w:val="00D1007E"/>
    <w:pPr>
      <w:tabs>
        <w:tab w:val="num" w:pos="1584"/>
      </w:tabs>
      <w:spacing w:before="240" w:after="60"/>
      <w:ind w:left="1584" w:hanging="1584"/>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71110A"/>
    <w:pPr>
      <w:spacing w:before="180" w:after="180" w:line="245" w:lineRule="auto"/>
    </w:pPr>
    <w:rPr>
      <w:rFonts w:eastAsia="Times New Roman" w:cs="Times New Roman"/>
      <w:szCs w:val="24"/>
      <w:lang w:eastAsia="en-AU"/>
    </w:rPr>
  </w:style>
  <w:style w:type="character" w:customStyle="1" w:styleId="BodyTextChar">
    <w:name w:val="Body Text Char"/>
    <w:basedOn w:val="DefaultParagraphFont"/>
    <w:link w:val="BodyText"/>
    <w:rsid w:val="0071110A"/>
    <w:rPr>
      <w:rFonts w:eastAsia="Times New Roman" w:cs="Times New Roman"/>
      <w:szCs w:val="24"/>
      <w:lang w:eastAsia="en-AU"/>
    </w:rPr>
  </w:style>
  <w:style w:type="character" w:customStyle="1" w:styleId="Heading1Char">
    <w:name w:val="Heading 1 Char"/>
    <w:basedOn w:val="DefaultParagraphFont"/>
    <w:link w:val="Heading1"/>
    <w:rsid w:val="00CB612D"/>
    <w:rPr>
      <w:rFonts w:asciiTheme="majorHAnsi" w:eastAsia="Times New Roman" w:hAnsiTheme="majorHAnsi" w:cs="Arial"/>
      <w:b/>
      <w:bCs/>
      <w:color w:val="660066" w:themeColor="accent3"/>
      <w:kern w:val="32"/>
      <w:sz w:val="30"/>
      <w:szCs w:val="42"/>
      <w:lang w:eastAsia="en-AU"/>
    </w:rPr>
  </w:style>
  <w:style w:type="character" w:customStyle="1" w:styleId="Heading2Char">
    <w:name w:val="Heading 2 Char"/>
    <w:basedOn w:val="DefaultParagraphFont"/>
    <w:link w:val="Heading2"/>
    <w:rsid w:val="00CB612D"/>
    <w:rPr>
      <w:rFonts w:asciiTheme="majorHAnsi" w:eastAsia="Times New Roman" w:hAnsiTheme="majorHAnsi" w:cs="Arial"/>
      <w:b/>
      <w:bCs/>
      <w:iCs/>
      <w:color w:val="59595B"/>
      <w:sz w:val="26"/>
      <w:szCs w:val="28"/>
      <w:lang w:eastAsia="en-AU"/>
    </w:rPr>
  </w:style>
  <w:style w:type="character" w:customStyle="1" w:styleId="Heading3Char">
    <w:name w:val="Heading 3 Char"/>
    <w:basedOn w:val="DefaultParagraphFont"/>
    <w:link w:val="Heading3"/>
    <w:rsid w:val="00CB612D"/>
    <w:rPr>
      <w:rFonts w:asciiTheme="majorHAnsi" w:eastAsia="Times New Roman" w:hAnsiTheme="majorHAnsi" w:cs="Times New Roman"/>
      <w:b/>
      <w:bCs/>
      <w:szCs w:val="24"/>
      <w:lang w:eastAsia="en-AU"/>
    </w:rPr>
  </w:style>
  <w:style w:type="character" w:customStyle="1" w:styleId="Heading4Char">
    <w:name w:val="Heading 4 Char"/>
    <w:basedOn w:val="DefaultParagraphFont"/>
    <w:link w:val="Heading4"/>
    <w:rsid w:val="003B5532"/>
    <w:rPr>
      <w:rFonts w:asciiTheme="majorHAnsi" w:eastAsia="Times New Roman" w:hAnsiTheme="majorHAnsi" w:cs="Times New Roman"/>
      <w:b/>
      <w:bCs/>
      <w:color w:val="59595B" w:themeColor="text2"/>
      <w:lang w:eastAsia="en-AU"/>
    </w:rPr>
  </w:style>
  <w:style w:type="paragraph" w:styleId="Title">
    <w:name w:val="Title"/>
    <w:basedOn w:val="Normal"/>
    <w:next w:val="BodyText"/>
    <w:link w:val="TitleChar"/>
    <w:uiPriority w:val="10"/>
    <w:rsid w:val="001C2FCC"/>
    <w:pPr>
      <w:spacing w:before="1000" w:after="1000"/>
    </w:pPr>
    <w:rPr>
      <w:sz w:val="54"/>
      <w:szCs w:val="46"/>
    </w:rPr>
  </w:style>
  <w:style w:type="character" w:customStyle="1" w:styleId="TitleChar">
    <w:name w:val="Title Char"/>
    <w:basedOn w:val="DefaultParagraphFont"/>
    <w:link w:val="Title"/>
    <w:uiPriority w:val="10"/>
    <w:rsid w:val="001C2FCC"/>
    <w:rPr>
      <w:sz w:val="54"/>
      <w:szCs w:val="46"/>
    </w:rPr>
  </w:style>
  <w:style w:type="paragraph" w:styleId="Subtitle">
    <w:name w:val="Subtitle"/>
    <w:basedOn w:val="Normal"/>
    <w:next w:val="BodyText"/>
    <w:link w:val="SubtitleChar"/>
    <w:uiPriority w:val="10"/>
    <w:rsid w:val="003B5532"/>
    <w:pPr>
      <w:numPr>
        <w:ilvl w:val="1"/>
      </w:numPr>
      <w:spacing w:before="120" w:after="120"/>
    </w:pPr>
    <w:rPr>
      <w:rFonts w:asciiTheme="majorHAnsi" w:eastAsiaTheme="majorEastAsia" w:hAnsiTheme="majorHAnsi" w:cstheme="majorBidi"/>
      <w:iCs/>
      <w:sz w:val="44"/>
      <w:szCs w:val="24"/>
      <w:lang w:val="en-US"/>
    </w:rPr>
  </w:style>
  <w:style w:type="character" w:customStyle="1" w:styleId="SubtitleChar">
    <w:name w:val="Subtitle Char"/>
    <w:basedOn w:val="DefaultParagraphFont"/>
    <w:link w:val="Subtitle"/>
    <w:uiPriority w:val="10"/>
    <w:rsid w:val="003B5532"/>
    <w:rPr>
      <w:rFonts w:asciiTheme="majorHAnsi" w:eastAsiaTheme="majorEastAsia" w:hAnsiTheme="majorHAnsi" w:cstheme="majorBidi"/>
      <w:iCs/>
      <w:sz w:val="44"/>
      <w:szCs w:val="24"/>
      <w:lang w:val="en-US"/>
    </w:rPr>
  </w:style>
  <w:style w:type="paragraph" w:styleId="BodyText2">
    <w:name w:val="Body Text 2"/>
    <w:basedOn w:val="BodyText"/>
    <w:link w:val="BodyText2Char"/>
    <w:uiPriority w:val="99"/>
    <w:semiHidden/>
    <w:qFormat/>
    <w:rsid w:val="00444AE6"/>
    <w:pPr>
      <w:numPr>
        <w:ilvl w:val="1"/>
      </w:numPr>
    </w:pPr>
  </w:style>
  <w:style w:type="character" w:customStyle="1" w:styleId="BodyText2Char">
    <w:name w:val="Body Text 2 Char"/>
    <w:basedOn w:val="DefaultParagraphFont"/>
    <w:link w:val="BodyText2"/>
    <w:uiPriority w:val="99"/>
    <w:semiHidden/>
    <w:rsid w:val="00444AE6"/>
    <w:rPr>
      <w:rFonts w:eastAsia="Times New Roman" w:cs="Times New Roman"/>
      <w:szCs w:val="24"/>
      <w:lang w:eastAsia="en-AU"/>
    </w:rPr>
  </w:style>
  <w:style w:type="paragraph" w:styleId="Header">
    <w:name w:val="header"/>
    <w:basedOn w:val="Normal"/>
    <w:link w:val="HeaderChar"/>
    <w:uiPriority w:val="99"/>
    <w:rsid w:val="00B8062D"/>
    <w:pPr>
      <w:spacing w:before="120"/>
    </w:pPr>
    <w:rPr>
      <w:b/>
      <w:color w:val="59595B"/>
      <w:sz w:val="18"/>
    </w:rPr>
  </w:style>
  <w:style w:type="character" w:customStyle="1" w:styleId="HeaderChar">
    <w:name w:val="Header Char"/>
    <w:basedOn w:val="DefaultParagraphFont"/>
    <w:link w:val="Header"/>
    <w:uiPriority w:val="99"/>
    <w:rsid w:val="00B8062D"/>
    <w:rPr>
      <w:b/>
      <w:color w:val="59595B"/>
      <w:sz w:val="18"/>
    </w:rPr>
  </w:style>
  <w:style w:type="paragraph" w:styleId="Footer">
    <w:name w:val="footer"/>
    <w:basedOn w:val="Normal"/>
    <w:link w:val="FooterChar"/>
    <w:uiPriority w:val="99"/>
    <w:rsid w:val="00B8062D"/>
    <w:rPr>
      <w:sz w:val="18"/>
    </w:rPr>
  </w:style>
  <w:style w:type="character" w:customStyle="1" w:styleId="FooterChar">
    <w:name w:val="Footer Char"/>
    <w:basedOn w:val="DefaultParagraphFont"/>
    <w:link w:val="Footer"/>
    <w:uiPriority w:val="99"/>
    <w:rsid w:val="00B8062D"/>
    <w:rPr>
      <w:sz w:val="18"/>
    </w:rPr>
  </w:style>
  <w:style w:type="paragraph" w:styleId="ListNumber0">
    <w:name w:val="List Number"/>
    <w:basedOn w:val="Normal"/>
    <w:uiPriority w:val="2"/>
    <w:qFormat/>
    <w:rsid w:val="0070574B"/>
    <w:pPr>
      <w:numPr>
        <w:numId w:val="27"/>
      </w:numPr>
      <w:spacing w:before="60" w:after="60" w:line="245" w:lineRule="auto"/>
    </w:pPr>
    <w:rPr>
      <w:rFonts w:eastAsia="Times New Roman" w:cs="Times New Roman"/>
      <w:szCs w:val="24"/>
      <w:lang w:eastAsia="en-AU"/>
    </w:rPr>
  </w:style>
  <w:style w:type="paragraph" w:styleId="ListBullet0">
    <w:name w:val="List Bullet"/>
    <w:basedOn w:val="Normal"/>
    <w:uiPriority w:val="2"/>
    <w:qFormat/>
    <w:rsid w:val="00AF1D30"/>
    <w:pPr>
      <w:numPr>
        <w:numId w:val="28"/>
      </w:numPr>
      <w:spacing w:before="60" w:after="60" w:line="245" w:lineRule="auto"/>
    </w:pPr>
    <w:rPr>
      <w:rFonts w:eastAsia="Times New Roman" w:cs="Times New Roman"/>
      <w:szCs w:val="24"/>
      <w:lang w:eastAsia="en-AU"/>
    </w:rPr>
  </w:style>
  <w:style w:type="paragraph" w:styleId="TOCHeading">
    <w:name w:val="TOC Heading"/>
    <w:basedOn w:val="Heading1"/>
    <w:next w:val="Normal"/>
    <w:uiPriority w:val="39"/>
    <w:qFormat/>
    <w:rsid w:val="0061089F"/>
    <w:pPr>
      <w:framePr w:wrap="around" w:hAnchor="text"/>
    </w:pPr>
  </w:style>
  <w:style w:type="character" w:styleId="Hyperlink">
    <w:name w:val="Hyperlink"/>
    <w:basedOn w:val="DefaultParagraphFont"/>
    <w:uiPriority w:val="99"/>
    <w:qFormat/>
    <w:rsid w:val="00782B0C"/>
    <w:rPr>
      <w:rFonts w:asciiTheme="minorHAnsi" w:hAnsiTheme="minorHAnsi"/>
      <w:b w:val="0"/>
      <w:color w:val="E6172F" w:themeColor="accent1"/>
      <w:sz w:val="24"/>
      <w:u w:val="single"/>
    </w:rPr>
  </w:style>
  <w:style w:type="paragraph" w:styleId="TOC1">
    <w:name w:val="toc 1"/>
    <w:basedOn w:val="Normal"/>
    <w:next w:val="Normal"/>
    <w:uiPriority w:val="39"/>
    <w:rsid w:val="00DA7157"/>
    <w:pPr>
      <w:tabs>
        <w:tab w:val="right" w:pos="8307"/>
      </w:tabs>
      <w:spacing w:before="160" w:after="120"/>
    </w:pPr>
    <w:rPr>
      <w:b/>
      <w:noProof/>
      <w:sz w:val="32"/>
    </w:rPr>
  </w:style>
  <w:style w:type="paragraph" w:styleId="TOC2">
    <w:name w:val="toc 2"/>
    <w:basedOn w:val="Normal"/>
    <w:next w:val="Normal"/>
    <w:uiPriority w:val="39"/>
    <w:rsid w:val="00DA7157"/>
    <w:pPr>
      <w:tabs>
        <w:tab w:val="right" w:pos="8307"/>
      </w:tabs>
      <w:spacing w:after="80"/>
      <w:ind w:left="567"/>
    </w:pPr>
    <w:rPr>
      <w:b/>
      <w:noProof/>
      <w:color w:val="595959"/>
    </w:rPr>
  </w:style>
  <w:style w:type="paragraph" w:styleId="TOC3">
    <w:name w:val="toc 3"/>
    <w:basedOn w:val="Normal"/>
    <w:next w:val="Normal"/>
    <w:uiPriority w:val="39"/>
    <w:rsid w:val="00DA7157"/>
    <w:pPr>
      <w:tabs>
        <w:tab w:val="right" w:pos="8307"/>
      </w:tabs>
      <w:spacing w:after="60"/>
      <w:ind w:left="567" w:right="2637"/>
    </w:pPr>
    <w:rPr>
      <w:noProof/>
    </w:rPr>
  </w:style>
  <w:style w:type="table" w:styleId="TableGrid">
    <w:name w:val="Table Grid"/>
    <w:aliases w:val="Table No Border"/>
    <w:basedOn w:val="TableNormal"/>
    <w:uiPriority w:val="59"/>
    <w:rsid w:val="00B6399C"/>
    <w:pPr>
      <w:spacing w:after="0"/>
    </w:pPr>
    <w:tblPr>
      <w:tblCellMar>
        <w:left w:w="0" w:type="dxa"/>
        <w:right w:w="0" w:type="dxa"/>
      </w:tblCellMar>
    </w:tblPr>
  </w:style>
  <w:style w:type="character" w:customStyle="1" w:styleId="Heading7Char">
    <w:name w:val="Heading 7 Char"/>
    <w:basedOn w:val="DefaultParagraphFont"/>
    <w:link w:val="Heading7"/>
    <w:semiHidden/>
    <w:rsid w:val="00B23B05"/>
    <w:rPr>
      <w:rFonts w:ascii="Arial" w:eastAsia="Times New Roman" w:hAnsi="Arial" w:cs="Times New Roman"/>
      <w:sz w:val="20"/>
      <w:szCs w:val="20"/>
    </w:rPr>
  </w:style>
  <w:style w:type="paragraph" w:customStyle="1" w:styleId="TableHeading">
    <w:name w:val="Table Heading"/>
    <w:basedOn w:val="TableText"/>
    <w:uiPriority w:val="3"/>
    <w:qFormat/>
    <w:rsid w:val="00B8062D"/>
    <w:rPr>
      <w:b/>
      <w:sz w:val="24"/>
    </w:rPr>
  </w:style>
  <w:style w:type="paragraph" w:customStyle="1" w:styleId="TableText">
    <w:name w:val="Table Text"/>
    <w:basedOn w:val="Normal"/>
    <w:uiPriority w:val="3"/>
    <w:qFormat/>
    <w:rsid w:val="00152D64"/>
    <w:pPr>
      <w:spacing w:before="60" w:after="60"/>
      <w:ind w:left="113" w:right="113"/>
    </w:pPr>
  </w:style>
  <w:style w:type="paragraph" w:customStyle="1" w:styleId="TableBullet">
    <w:name w:val="Table Bullet"/>
    <w:basedOn w:val="TableText"/>
    <w:uiPriority w:val="4"/>
    <w:qFormat/>
    <w:rsid w:val="00152D64"/>
    <w:pPr>
      <w:numPr>
        <w:numId w:val="24"/>
      </w:numPr>
    </w:pPr>
  </w:style>
  <w:style w:type="paragraph" w:customStyle="1" w:styleId="TableNumber">
    <w:name w:val="Table Number"/>
    <w:basedOn w:val="TableText"/>
    <w:uiPriority w:val="4"/>
    <w:qFormat/>
    <w:rsid w:val="00B8062D"/>
    <w:pPr>
      <w:numPr>
        <w:numId w:val="18"/>
      </w:numPr>
    </w:pPr>
    <w:rPr>
      <w:b/>
    </w:rPr>
  </w:style>
  <w:style w:type="character" w:customStyle="1" w:styleId="Heading5Char">
    <w:name w:val="Heading 5 Char"/>
    <w:basedOn w:val="DefaultParagraphFont"/>
    <w:link w:val="Heading5"/>
    <w:rsid w:val="00B8062D"/>
    <w:rPr>
      <w:rFonts w:asciiTheme="majorHAnsi" w:eastAsia="Times New Roman" w:hAnsiTheme="majorHAnsi" w:cs="Times New Roman"/>
      <w:bCs/>
      <w:i/>
      <w:color w:val="660066" w:themeColor="accent3"/>
      <w:szCs w:val="26"/>
      <w:lang w:eastAsia="en-AU"/>
    </w:rPr>
  </w:style>
  <w:style w:type="character" w:customStyle="1" w:styleId="Heading6Char">
    <w:name w:val="Heading 6 Char"/>
    <w:basedOn w:val="DefaultParagraphFont"/>
    <w:link w:val="Heading6"/>
    <w:semiHidden/>
    <w:rsid w:val="00E45B92"/>
    <w:rPr>
      <w:rFonts w:eastAsia="Times New Roman" w:cs="Times New Roman"/>
      <w:bCs/>
      <w:sz w:val="24"/>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444AE6"/>
    <w:rPr>
      <w:rFonts w:eastAsia="Times New Roman" w:cs="Times New Roman"/>
      <w:szCs w:val="16"/>
      <w:lang w:eastAsia="en-AU"/>
    </w:rPr>
  </w:style>
  <w:style w:type="paragraph" w:styleId="ListParagraph">
    <w:name w:val="List Paragraph"/>
    <w:basedOn w:val="ListBullet0"/>
    <w:link w:val="ListParagraphChar"/>
    <w:qFormat/>
    <w:rsid w:val="00AF1D30"/>
    <w:pPr>
      <w:numPr>
        <w:numId w:val="30"/>
      </w:numPr>
    </w:pPr>
  </w:style>
  <w:style w:type="paragraph" w:styleId="TOC4">
    <w:name w:val="toc 4"/>
    <w:basedOn w:val="TOC1"/>
    <w:next w:val="Normal"/>
    <w:uiPriority w:val="39"/>
    <w:semiHidden/>
    <w:rsid w:val="00D65143"/>
    <w:pPr>
      <w:tabs>
        <w:tab w:val="left" w:pos="567"/>
      </w:tabs>
      <w:ind w:left="567" w:hanging="567"/>
    </w:pPr>
  </w:style>
  <w:style w:type="paragraph" w:customStyle="1" w:styleId="AltHeading5">
    <w:name w:val="Alt Heading 5"/>
    <w:basedOn w:val="Heading5"/>
    <w:next w:val="BodyText"/>
    <w:semiHidden/>
    <w:qFormat/>
    <w:rsid w:val="00526F38"/>
    <w:pPr>
      <w:numPr>
        <w:ilvl w:val="4"/>
        <w:numId w:val="7"/>
      </w:numPr>
    </w:pPr>
  </w:style>
  <w:style w:type="character" w:customStyle="1" w:styleId="Heading8Char">
    <w:name w:val="Heading 8 Char"/>
    <w:basedOn w:val="DefaultParagraphFont"/>
    <w:link w:val="Heading8"/>
    <w:semiHidden/>
    <w:rsid w:val="00B23B05"/>
    <w:rPr>
      <w:rFonts w:ascii="Arial" w:eastAsia="Times New Roman" w:hAnsi="Arial" w:cs="Times New Roman"/>
      <w:i/>
      <w:sz w:val="20"/>
      <w:szCs w:val="20"/>
    </w:rPr>
  </w:style>
  <w:style w:type="character" w:customStyle="1" w:styleId="Heading9Char">
    <w:name w:val="Heading 9 Char"/>
    <w:aliases w:val="Appendix H1 Char"/>
    <w:basedOn w:val="DefaultParagraphFont"/>
    <w:link w:val="Heading9"/>
    <w:uiPriority w:val="12"/>
    <w:semiHidden/>
    <w:rsid w:val="00B6399C"/>
    <w:rPr>
      <w:rFonts w:ascii="Arial" w:eastAsia="Times New Roman" w:hAnsi="Arial" w:cs="Times New Roman"/>
      <w:b/>
      <w:i/>
      <w:sz w:val="18"/>
      <w:szCs w:val="20"/>
    </w:r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TOC5">
    <w:name w:val="toc 5"/>
    <w:basedOn w:val="TOC2"/>
    <w:next w:val="Normal"/>
    <w:uiPriority w:val="39"/>
    <w:semiHidden/>
    <w:rsid w:val="00D65143"/>
    <w:pPr>
      <w:tabs>
        <w:tab w:val="left" w:pos="567"/>
      </w:tabs>
      <w:ind w:hanging="567"/>
    </w:pPr>
  </w:style>
  <w:style w:type="paragraph" w:styleId="TOC6">
    <w:name w:val="toc 6"/>
    <w:basedOn w:val="TOC3"/>
    <w:next w:val="Normal"/>
    <w:uiPriority w:val="39"/>
    <w:semiHidden/>
    <w:rsid w:val="0061089F"/>
    <w:pPr>
      <w:tabs>
        <w:tab w:val="left" w:pos="851"/>
      </w:tabs>
      <w:ind w:left="851" w:hanging="851"/>
    </w:pPr>
  </w:style>
  <w:style w:type="paragraph" w:styleId="TOC7">
    <w:name w:val="toc 7"/>
    <w:basedOn w:val="TOC2"/>
    <w:next w:val="Normal"/>
    <w:uiPriority w:val="39"/>
    <w:semiHidden/>
    <w:rsid w:val="00E469B2"/>
    <w:pPr>
      <w:tabs>
        <w:tab w:val="left" w:pos="1985"/>
      </w:tabs>
      <w:ind w:left="1985" w:hanging="1985"/>
    </w:pPr>
  </w:style>
  <w:style w:type="paragraph" w:styleId="TOC8">
    <w:name w:val="toc 8"/>
    <w:basedOn w:val="TableofFigures"/>
    <w:next w:val="Normal"/>
    <w:uiPriority w:val="39"/>
    <w:semiHidden/>
    <w:rsid w:val="00912832"/>
    <w:pPr>
      <w:tabs>
        <w:tab w:val="left" w:pos="567"/>
      </w:tabs>
      <w:spacing w:before="80" w:after="0"/>
      <w:ind w:left="0" w:right="0"/>
    </w:pPr>
    <w:rPr>
      <w:b/>
    </w:rPr>
  </w:style>
  <w:style w:type="paragraph" w:styleId="TOC9">
    <w:name w:val="toc 9"/>
    <w:basedOn w:val="TableofFigures"/>
    <w:next w:val="Normal"/>
    <w:uiPriority w:val="39"/>
    <w:semiHidden/>
    <w:rsid w:val="00912832"/>
    <w:pPr>
      <w:tabs>
        <w:tab w:val="left" w:pos="1134"/>
      </w:tabs>
      <w:spacing w:after="0"/>
      <w:ind w:left="1134" w:right="0" w:hanging="567"/>
    </w:pPr>
  </w:style>
  <w:style w:type="numbering" w:customStyle="1" w:styleId="ListNumber">
    <w:name w:val="List_Number"/>
    <w:uiPriority w:val="99"/>
    <w:rsid w:val="00DC1304"/>
    <w:pPr>
      <w:numPr>
        <w:numId w:val="3"/>
      </w:numPr>
    </w:pPr>
  </w:style>
  <w:style w:type="numbering" w:customStyle="1" w:styleId="ListParagraph0">
    <w:name w:val="List Paragraph0"/>
    <w:uiPriority w:val="99"/>
    <w:rsid w:val="00AF1D30"/>
    <w:pPr>
      <w:numPr>
        <w:numId w:val="5"/>
      </w:numPr>
    </w:pPr>
  </w:style>
  <w:style w:type="paragraph" w:styleId="Caption">
    <w:name w:val="caption"/>
    <w:basedOn w:val="Normal"/>
    <w:next w:val="Normal"/>
    <w:uiPriority w:val="6"/>
    <w:semiHidden/>
    <w:rsid w:val="002A345C"/>
    <w:pPr>
      <w:tabs>
        <w:tab w:val="left" w:pos="1134"/>
      </w:tabs>
      <w:spacing w:before="240" w:after="120"/>
      <w:ind w:left="1134" w:hanging="1134"/>
    </w:pPr>
    <w:rPr>
      <w:b/>
      <w:sz w:val="20"/>
    </w:rPr>
  </w:style>
  <w:style w:type="paragraph" w:customStyle="1" w:styleId="ListAlpha0">
    <w:name w:val="List Alpha"/>
    <w:basedOn w:val="BodyText"/>
    <w:uiPriority w:val="2"/>
    <w:qFormat/>
    <w:rsid w:val="00AF1D30"/>
    <w:pPr>
      <w:numPr>
        <w:numId w:val="29"/>
      </w:numPr>
      <w:spacing w:before="60" w:after="60"/>
    </w:pPr>
  </w:style>
  <w:style w:type="numbering" w:customStyle="1" w:styleId="ListAlpha">
    <w:name w:val="List_Alpha"/>
    <w:uiPriority w:val="99"/>
    <w:rsid w:val="00AF1D30"/>
    <w:pPr>
      <w:numPr>
        <w:numId w:val="1"/>
      </w:numPr>
    </w:pPr>
  </w:style>
  <w:style w:type="paragraph" w:styleId="TableofAuthorities">
    <w:name w:val="table of authorities"/>
    <w:basedOn w:val="Normal"/>
    <w:next w:val="Normal"/>
    <w:uiPriority w:val="99"/>
    <w:semiHidden/>
    <w:unhideWhenUsed/>
    <w:rsid w:val="00E018FB"/>
    <w:pPr>
      <w:ind w:left="200" w:hanging="200"/>
    </w:pPr>
  </w:style>
  <w:style w:type="paragraph" w:styleId="TableofFigures">
    <w:name w:val="table of figures"/>
    <w:basedOn w:val="TOC3"/>
    <w:next w:val="Normal"/>
    <w:uiPriority w:val="99"/>
    <w:semiHidden/>
    <w:rsid w:val="00F6184E"/>
  </w:style>
  <w:style w:type="table" w:customStyle="1" w:styleId="AubergineTable">
    <w:name w:val="Aubergine Table"/>
    <w:basedOn w:val="TableNormal"/>
    <w:uiPriority w:val="99"/>
    <w:rsid w:val="0071110A"/>
    <w:pPr>
      <w:spacing w:before="0" w:after="0"/>
    </w:pPr>
    <w:tblPr>
      <w:tblStyleRowBandSize w:val="1"/>
      <w:tblStyleColBandSize w:val="1"/>
      <w:tblBorders>
        <w:top w:val="single" w:sz="4" w:space="0" w:color="660066" w:themeColor="accent3"/>
        <w:bottom w:val="single" w:sz="4" w:space="0" w:color="660066" w:themeColor="accent3"/>
        <w:insideH w:val="single" w:sz="4" w:space="0" w:color="660066" w:themeColor="accent3"/>
      </w:tblBorders>
      <w:tblCellMar>
        <w:left w:w="0" w:type="dxa"/>
        <w:right w:w="0" w:type="dxa"/>
      </w:tblCellMar>
    </w:tblPr>
    <w:trPr>
      <w:cantSplit/>
    </w:trPr>
    <w:tblStylePr w:type="firstRow">
      <w:rPr>
        <w:color w:val="660066" w:themeColor="accent3"/>
      </w:rPr>
      <w:tblPr/>
      <w:tcPr>
        <w:tcBorders>
          <w:top w:val="single" w:sz="12" w:space="0" w:color="660066" w:themeColor="accent3"/>
          <w:left w:val="nil"/>
          <w:bottom w:val="single" w:sz="12" w:space="0" w:color="660066" w:themeColor="accent3"/>
          <w:right w:val="nil"/>
          <w:insideH w:val="nil"/>
          <w:insideV w:val="nil"/>
          <w:tl2br w:val="nil"/>
          <w:tr2bl w:val="nil"/>
        </w:tcBorders>
        <w:shd w:val="clear" w:color="auto" w:fill="FFFFFF" w:themeFill="background1"/>
      </w:tcPr>
    </w:tblStylePr>
    <w:tblStylePr w:type="lastRow">
      <w:rPr>
        <w:b/>
      </w:rPr>
      <w:tblPr/>
      <w:tcPr>
        <w:shd w:val="clear" w:color="auto" w:fill="E8D9E8"/>
      </w:tcPr>
    </w:tblStylePr>
    <w:tblStylePr w:type="firstCol">
      <w:tblPr/>
      <w:tcPr>
        <w:shd w:val="clear" w:color="auto" w:fill="E8D9E8"/>
      </w:tcPr>
    </w:tblStylePr>
    <w:tblStylePr w:type="band2Vert">
      <w:tblPr/>
      <w:tcPr>
        <w:shd w:val="clear" w:color="auto" w:fill="E8D9E8"/>
      </w:tcPr>
    </w:tblStylePr>
    <w:tblStylePr w:type="band2Horz">
      <w:tblPr/>
      <w:tcPr>
        <w:shd w:val="clear" w:color="auto" w:fill="E8D9E8"/>
      </w:tcPr>
    </w:tblStylePr>
  </w:style>
  <w:style w:type="character" w:styleId="FollowedHyperlink">
    <w:name w:val="FollowedHyperlink"/>
    <w:basedOn w:val="DefaultParagraphFont"/>
    <w:uiPriority w:val="99"/>
    <w:semiHidden/>
    <w:rsid w:val="00BF2C53"/>
    <w:rPr>
      <w:rFonts w:asciiTheme="minorHAnsi" w:hAnsiTheme="minorHAnsi"/>
      <w:color w:val="E6172F" w:themeColor="accent1"/>
      <w:sz w:val="20"/>
      <w:u w:val="single"/>
    </w:rPr>
  </w:style>
  <w:style w:type="paragraph" w:styleId="BodyTextIndent">
    <w:name w:val="Body Text Indent"/>
    <w:basedOn w:val="Normal"/>
    <w:link w:val="BodyTextIndentChar"/>
    <w:uiPriority w:val="99"/>
    <w:semiHidden/>
    <w:rsid w:val="005430C3"/>
    <w:pPr>
      <w:spacing w:after="120"/>
      <w:ind w:left="283"/>
    </w:pPr>
  </w:style>
  <w:style w:type="paragraph" w:customStyle="1" w:styleId="ListAlpha2">
    <w:name w:val="List Alpha 2"/>
    <w:basedOn w:val="ListAlpha0"/>
    <w:uiPriority w:val="19"/>
    <w:rsid w:val="00AF1D30"/>
    <w:pPr>
      <w:numPr>
        <w:ilvl w:val="1"/>
      </w:numPr>
    </w:pPr>
  </w:style>
  <w:style w:type="paragraph" w:customStyle="1" w:styleId="ListAlpha3">
    <w:name w:val="List Alpha 3"/>
    <w:basedOn w:val="ListAlpha2"/>
    <w:uiPriority w:val="19"/>
    <w:rsid w:val="00AF1D30"/>
    <w:pPr>
      <w:numPr>
        <w:ilvl w:val="2"/>
      </w:numPr>
    </w:pPr>
  </w:style>
  <w:style w:type="paragraph" w:customStyle="1" w:styleId="ListAlpha4">
    <w:name w:val="List Alpha 4"/>
    <w:basedOn w:val="ListAlpha3"/>
    <w:uiPriority w:val="19"/>
    <w:rsid w:val="00AF1D30"/>
    <w:pPr>
      <w:numPr>
        <w:ilvl w:val="3"/>
      </w:numPr>
    </w:pPr>
  </w:style>
  <w:style w:type="paragraph" w:customStyle="1" w:styleId="ListAlpha6">
    <w:name w:val="List Alpha 6"/>
    <w:basedOn w:val="ListAlpha4"/>
    <w:uiPriority w:val="19"/>
    <w:rsid w:val="00AF1D30"/>
    <w:pPr>
      <w:numPr>
        <w:ilvl w:val="5"/>
      </w:numPr>
    </w:pPr>
  </w:style>
  <w:style w:type="paragraph" w:customStyle="1" w:styleId="ListAlpha5">
    <w:name w:val="List Alpha 5"/>
    <w:basedOn w:val="ListAlpha6"/>
    <w:uiPriority w:val="19"/>
    <w:rsid w:val="00AF1D30"/>
    <w:pPr>
      <w:numPr>
        <w:ilvl w:val="4"/>
      </w:numPr>
    </w:pPr>
  </w:style>
  <w:style w:type="paragraph" w:styleId="ListBullet2">
    <w:name w:val="List Bullet 2"/>
    <w:basedOn w:val="ListBullet0"/>
    <w:uiPriority w:val="19"/>
    <w:rsid w:val="004F2A3C"/>
    <w:pPr>
      <w:numPr>
        <w:ilvl w:val="1"/>
      </w:numPr>
    </w:pPr>
  </w:style>
  <w:style w:type="paragraph" w:styleId="ListBullet3">
    <w:name w:val="List Bullet 3"/>
    <w:basedOn w:val="ListBullet0"/>
    <w:uiPriority w:val="19"/>
    <w:rsid w:val="004F2A3C"/>
    <w:pPr>
      <w:numPr>
        <w:ilvl w:val="2"/>
      </w:numPr>
    </w:pPr>
  </w:style>
  <w:style w:type="paragraph" w:styleId="ListBullet4">
    <w:name w:val="List Bullet 4"/>
    <w:basedOn w:val="ListBullet0"/>
    <w:uiPriority w:val="19"/>
    <w:rsid w:val="004F2A3C"/>
    <w:pPr>
      <w:numPr>
        <w:ilvl w:val="3"/>
      </w:numPr>
    </w:pPr>
  </w:style>
  <w:style w:type="paragraph" w:styleId="ListBullet5">
    <w:name w:val="List Bullet 5"/>
    <w:basedOn w:val="ListBullet0"/>
    <w:uiPriority w:val="19"/>
    <w:rsid w:val="004F2A3C"/>
    <w:pPr>
      <w:numPr>
        <w:ilvl w:val="4"/>
      </w:numPr>
    </w:pPr>
  </w:style>
  <w:style w:type="paragraph" w:customStyle="1" w:styleId="ListBullet6">
    <w:name w:val="List Bullet 6"/>
    <w:basedOn w:val="ListBullet0"/>
    <w:uiPriority w:val="19"/>
    <w:rsid w:val="004F2A3C"/>
    <w:pPr>
      <w:numPr>
        <w:ilvl w:val="5"/>
      </w:numPr>
    </w:pPr>
  </w:style>
  <w:style w:type="paragraph" w:styleId="ListNumber2">
    <w:name w:val="List Number 2"/>
    <w:basedOn w:val="ListNumber0"/>
    <w:uiPriority w:val="19"/>
    <w:rsid w:val="00DC1304"/>
    <w:pPr>
      <w:numPr>
        <w:ilvl w:val="1"/>
      </w:numPr>
    </w:pPr>
  </w:style>
  <w:style w:type="paragraph" w:styleId="ListNumber3">
    <w:name w:val="List Number 3"/>
    <w:basedOn w:val="ListNumber0"/>
    <w:uiPriority w:val="19"/>
    <w:rsid w:val="00DC1304"/>
    <w:pPr>
      <w:numPr>
        <w:ilvl w:val="2"/>
      </w:numPr>
    </w:pPr>
  </w:style>
  <w:style w:type="paragraph" w:styleId="ListNumber4">
    <w:name w:val="List Number 4"/>
    <w:basedOn w:val="ListNumber0"/>
    <w:uiPriority w:val="19"/>
    <w:rsid w:val="00DC1304"/>
    <w:pPr>
      <w:numPr>
        <w:ilvl w:val="3"/>
      </w:numPr>
    </w:pPr>
  </w:style>
  <w:style w:type="paragraph" w:styleId="ListNumber5">
    <w:name w:val="List Number 5"/>
    <w:basedOn w:val="ListNumber0"/>
    <w:uiPriority w:val="19"/>
    <w:rsid w:val="00DC1304"/>
    <w:pPr>
      <w:numPr>
        <w:ilvl w:val="4"/>
      </w:numPr>
    </w:pPr>
  </w:style>
  <w:style w:type="paragraph" w:customStyle="1" w:styleId="ListNumber6">
    <w:name w:val="List Number 6"/>
    <w:basedOn w:val="ListNumber0"/>
    <w:uiPriority w:val="19"/>
    <w:rsid w:val="00DC1304"/>
    <w:pPr>
      <w:numPr>
        <w:ilvl w:val="5"/>
      </w:numPr>
    </w:pPr>
  </w:style>
  <w:style w:type="paragraph" w:customStyle="1" w:styleId="ListParagraph2">
    <w:name w:val="List Paragraph 2"/>
    <w:basedOn w:val="ListParagraph"/>
    <w:uiPriority w:val="19"/>
    <w:rsid w:val="004F2A3C"/>
    <w:pPr>
      <w:numPr>
        <w:ilvl w:val="1"/>
      </w:numPr>
    </w:pPr>
  </w:style>
  <w:style w:type="paragraph" w:customStyle="1" w:styleId="ListParagraph3">
    <w:name w:val="List Paragraph 3"/>
    <w:basedOn w:val="ListParagraph"/>
    <w:uiPriority w:val="19"/>
    <w:rsid w:val="004F2A3C"/>
    <w:pPr>
      <w:numPr>
        <w:ilvl w:val="2"/>
      </w:numPr>
    </w:pPr>
  </w:style>
  <w:style w:type="paragraph" w:customStyle="1" w:styleId="ListParagraph4">
    <w:name w:val="List Paragraph 4"/>
    <w:basedOn w:val="ListParagraph"/>
    <w:uiPriority w:val="19"/>
    <w:rsid w:val="004F2A3C"/>
    <w:pPr>
      <w:numPr>
        <w:ilvl w:val="3"/>
      </w:numPr>
    </w:pPr>
  </w:style>
  <w:style w:type="paragraph" w:customStyle="1" w:styleId="ListParagraph5">
    <w:name w:val="List Paragraph 5"/>
    <w:basedOn w:val="ListParagraph"/>
    <w:uiPriority w:val="19"/>
    <w:rsid w:val="004F2A3C"/>
    <w:pPr>
      <w:numPr>
        <w:ilvl w:val="4"/>
      </w:numPr>
    </w:pPr>
  </w:style>
  <w:style w:type="paragraph" w:customStyle="1" w:styleId="ListParagraph6">
    <w:name w:val="List Paragraph 6"/>
    <w:basedOn w:val="ListParagraph"/>
    <w:uiPriority w:val="19"/>
    <w:rsid w:val="004F2A3C"/>
    <w:pPr>
      <w:numPr>
        <w:ilvl w:val="5"/>
      </w:numPr>
    </w:pPr>
  </w:style>
  <w:style w:type="numbering" w:customStyle="1" w:styleId="ListBullet">
    <w:name w:val="List_Bullet"/>
    <w:uiPriority w:val="99"/>
    <w:rsid w:val="00AF1D30"/>
    <w:pPr>
      <w:numPr>
        <w:numId w:val="2"/>
      </w:numPr>
    </w:pPr>
  </w:style>
  <w:style w:type="numbering" w:customStyle="1" w:styleId="ListNumberedHeadings">
    <w:name w:val="List_NumberedHeadings"/>
    <w:uiPriority w:val="99"/>
    <w:rsid w:val="00526F38"/>
    <w:pPr>
      <w:numPr>
        <w:numId w:val="4"/>
      </w:numPr>
    </w:pPr>
  </w:style>
  <w:style w:type="numbering" w:customStyle="1" w:styleId="ListTableBullet">
    <w:name w:val="List_TableBullet"/>
    <w:uiPriority w:val="99"/>
    <w:rsid w:val="00152D64"/>
    <w:pPr>
      <w:numPr>
        <w:numId w:val="13"/>
      </w:numPr>
    </w:pPr>
  </w:style>
  <w:style w:type="numbering" w:customStyle="1" w:styleId="ListTableNumber">
    <w:name w:val="List_TableNumber"/>
    <w:uiPriority w:val="99"/>
    <w:rsid w:val="00B8062D"/>
    <w:pPr>
      <w:numPr>
        <w:numId w:val="14"/>
      </w:numPr>
    </w:pPr>
  </w:style>
  <w:style w:type="paragraph" w:customStyle="1" w:styleId="TableBullet2">
    <w:name w:val="Table Bullet 2"/>
    <w:basedOn w:val="TableBullet"/>
    <w:uiPriority w:val="19"/>
    <w:rsid w:val="00152D64"/>
    <w:pPr>
      <w:numPr>
        <w:ilvl w:val="1"/>
      </w:numPr>
    </w:pPr>
  </w:style>
  <w:style w:type="paragraph" w:customStyle="1" w:styleId="TableNumber2">
    <w:name w:val="Table Number 2"/>
    <w:basedOn w:val="TableNumber"/>
    <w:uiPriority w:val="19"/>
    <w:rsid w:val="00B8062D"/>
    <w:pPr>
      <w:numPr>
        <w:ilvl w:val="1"/>
      </w:numPr>
    </w:pPr>
    <w:rPr>
      <w:b w:val="0"/>
    </w:r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paragraph" w:styleId="CommentText">
    <w:name w:val="annotation text"/>
    <w:basedOn w:val="Normal"/>
    <w:link w:val="CommentTextChar"/>
    <w:uiPriority w:val="99"/>
    <w:rsid w:val="00D1007E"/>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D1007E"/>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2106C4"/>
    <w:rPr>
      <w:color w:val="808080"/>
    </w:rPr>
  </w:style>
  <w:style w:type="character" w:styleId="SubtleEmphasis">
    <w:name w:val="Subtle Emphasis"/>
    <w:uiPriority w:val="19"/>
    <w:semiHidden/>
    <w:qFormat/>
    <w:rsid w:val="00B1736B"/>
    <w:rPr>
      <w:i/>
      <w:iCs/>
    </w:rPr>
  </w:style>
  <w:style w:type="paragraph" w:styleId="FootnoteText">
    <w:name w:val="footnote text"/>
    <w:basedOn w:val="Normal"/>
    <w:link w:val="FootnoteTextChar"/>
    <w:uiPriority w:val="99"/>
    <w:rsid w:val="00AA7CEA"/>
    <w:rPr>
      <w:rFonts w:eastAsiaTheme="minorEastAsia"/>
      <w:sz w:val="16"/>
      <w:szCs w:val="20"/>
      <w:lang w:val="en-US" w:bidi="en-US"/>
    </w:rPr>
  </w:style>
  <w:style w:type="character" w:customStyle="1" w:styleId="FootnoteTextChar">
    <w:name w:val="Footnote Text Char"/>
    <w:basedOn w:val="DefaultParagraphFont"/>
    <w:link w:val="FootnoteText"/>
    <w:uiPriority w:val="99"/>
    <w:rsid w:val="00C22229"/>
    <w:rPr>
      <w:rFonts w:eastAsiaTheme="minorEastAsia"/>
      <w:sz w:val="16"/>
      <w:szCs w:val="20"/>
      <w:lang w:val="en-US" w:bidi="en-US"/>
    </w:rPr>
  </w:style>
  <w:style w:type="character" w:styleId="FootnoteReference">
    <w:name w:val="footnote reference"/>
    <w:aliases w:val="4_G,Footnotes refss"/>
    <w:basedOn w:val="DefaultParagraphFont"/>
    <w:uiPriority w:val="99"/>
    <w:unhideWhenUsed/>
    <w:qFormat/>
    <w:rsid w:val="00B1736B"/>
    <w:rPr>
      <w:vertAlign w:val="superscript"/>
    </w:rPr>
  </w:style>
  <w:style w:type="character" w:customStyle="1" w:styleId="BodyTextIndentChar">
    <w:name w:val="Body Text Indent Char"/>
    <w:basedOn w:val="DefaultParagraphFont"/>
    <w:link w:val="BodyTextIndent"/>
    <w:uiPriority w:val="99"/>
    <w:semiHidden/>
    <w:rsid w:val="005430C3"/>
    <w:rPr>
      <w:sz w:val="24"/>
    </w:rPr>
  </w:style>
  <w:style w:type="character" w:styleId="Strong">
    <w:name w:val="Strong"/>
    <w:basedOn w:val="DefaultParagraphFont"/>
    <w:uiPriority w:val="22"/>
    <w:semiHidden/>
    <w:qFormat/>
    <w:rsid w:val="00B23B05"/>
    <w:rPr>
      <w:b/>
      <w:bCs/>
    </w:rPr>
  </w:style>
  <w:style w:type="character" w:customStyle="1" w:styleId="ListParagraphChar">
    <w:name w:val="List Paragraph Char"/>
    <w:basedOn w:val="DefaultParagraphFont"/>
    <w:link w:val="ListParagraph"/>
    <w:rsid w:val="0070574B"/>
    <w:rPr>
      <w:rFonts w:eastAsia="Times New Roman" w:cs="Times New Roman"/>
      <w:szCs w:val="24"/>
      <w:lang w:eastAsia="en-AU"/>
    </w:rPr>
  </w:style>
  <w:style w:type="character" w:styleId="CommentReference">
    <w:name w:val="annotation reference"/>
    <w:basedOn w:val="DefaultParagraphFont"/>
    <w:uiPriority w:val="99"/>
    <w:semiHidden/>
    <w:rsid w:val="009607A4"/>
    <w:rPr>
      <w:sz w:val="16"/>
      <w:szCs w:val="16"/>
    </w:rPr>
  </w:style>
  <w:style w:type="paragraph" w:styleId="CommentSubject">
    <w:name w:val="annotation subject"/>
    <w:basedOn w:val="CommentText"/>
    <w:next w:val="CommentText"/>
    <w:link w:val="CommentSubjectChar"/>
    <w:uiPriority w:val="99"/>
    <w:semiHidden/>
    <w:rsid w:val="009607A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607A4"/>
    <w:rPr>
      <w:rFonts w:ascii="Times New Roman" w:eastAsia="Times New Roman" w:hAnsi="Times New Roman" w:cs="Times New Roman"/>
      <w:b/>
      <w:bCs/>
      <w:sz w:val="20"/>
      <w:szCs w:val="20"/>
    </w:rPr>
  </w:style>
  <w:style w:type="paragraph" w:customStyle="1" w:styleId="TOCHeadingAttachments">
    <w:name w:val="TOC Heading Attachments"/>
    <w:basedOn w:val="Normal"/>
    <w:semiHidden/>
    <w:qFormat/>
    <w:rsid w:val="003B2D3D"/>
    <w:pPr>
      <w:keepNext/>
      <w:keepLines/>
      <w:pageBreakBefore/>
      <w:tabs>
        <w:tab w:val="left" w:pos="851"/>
      </w:tabs>
      <w:spacing w:before="180" w:after="240" w:line="269" w:lineRule="auto"/>
      <w:outlineLvl w:val="1"/>
    </w:pPr>
    <w:rPr>
      <w:rFonts w:asciiTheme="majorHAnsi" w:eastAsia="Times New Roman" w:hAnsiTheme="majorHAnsi" w:cs="Arial"/>
      <w:b/>
      <w:bCs/>
      <w:caps/>
      <w:sz w:val="32"/>
      <w:szCs w:val="28"/>
      <w:lang w:eastAsia="en-AU"/>
    </w:rPr>
  </w:style>
  <w:style w:type="paragraph" w:customStyle="1" w:styleId="Default">
    <w:name w:val="Default"/>
    <w:semiHidden/>
    <w:rsid w:val="00DF006A"/>
    <w:pPr>
      <w:autoSpaceDE w:val="0"/>
      <w:autoSpaceDN w:val="0"/>
      <w:adjustRightInd w:val="0"/>
      <w:spacing w:before="0" w:after="0"/>
    </w:pPr>
    <w:rPr>
      <w:rFonts w:ascii="Arial" w:hAnsi="Arial" w:cs="Arial"/>
      <w:color w:val="000000"/>
      <w:sz w:val="24"/>
      <w:szCs w:val="24"/>
    </w:rPr>
  </w:style>
  <w:style w:type="table" w:customStyle="1" w:styleId="Greyshadedtable">
    <w:name w:val="Grey shaded table"/>
    <w:basedOn w:val="TableNormal"/>
    <w:uiPriority w:val="99"/>
    <w:rsid w:val="004D7421"/>
    <w:pPr>
      <w:spacing w:before="0" w:after="0"/>
    </w:pPr>
    <w:tblPr>
      <w:tblCellMar>
        <w:top w:w="142" w:type="dxa"/>
        <w:left w:w="284" w:type="dxa"/>
        <w:bottom w:w="142" w:type="dxa"/>
        <w:right w:w="284" w:type="dxa"/>
      </w:tblCellMar>
    </w:tblPr>
    <w:tcPr>
      <w:shd w:val="clear" w:color="auto" w:fill="E6E6E6" w:themeFill="background2"/>
    </w:tcPr>
  </w:style>
  <w:style w:type="paragraph" w:customStyle="1" w:styleId="NbrHeading1">
    <w:name w:val="Nbr Heading 1"/>
    <w:basedOn w:val="Heading1"/>
    <w:next w:val="BodyText"/>
    <w:uiPriority w:val="1"/>
    <w:qFormat/>
    <w:rsid w:val="00B8062D"/>
    <w:pPr>
      <w:keepNext/>
      <w:widowControl/>
      <w:numPr>
        <w:numId w:val="19"/>
      </w:numPr>
    </w:pPr>
    <w:rPr>
      <w:rFonts w:eastAsiaTheme="majorEastAsia" w:cstheme="majorBidi"/>
      <w:bCs w:val="0"/>
      <w:kern w:val="0"/>
      <w:szCs w:val="32"/>
      <w:lang w:eastAsia="en-US"/>
    </w:rPr>
  </w:style>
  <w:style w:type="paragraph" w:customStyle="1" w:styleId="NbrHeading2">
    <w:name w:val="Nbr Heading 2"/>
    <w:basedOn w:val="Heading2"/>
    <w:next w:val="BodyText"/>
    <w:uiPriority w:val="1"/>
    <w:qFormat/>
    <w:rsid w:val="00B8062D"/>
    <w:pPr>
      <w:numPr>
        <w:ilvl w:val="1"/>
        <w:numId w:val="19"/>
      </w:numPr>
    </w:pPr>
    <w:rPr>
      <w:rFonts w:eastAsiaTheme="majorEastAsia" w:cstheme="majorBidi"/>
      <w:bCs w:val="0"/>
      <w:iCs w:val="0"/>
      <w:szCs w:val="26"/>
      <w:lang w:eastAsia="en-US"/>
    </w:rPr>
  </w:style>
  <w:style w:type="paragraph" w:customStyle="1" w:styleId="NbrHeading3">
    <w:name w:val="Nbr Heading 3"/>
    <w:basedOn w:val="Heading3"/>
    <w:next w:val="BodyText"/>
    <w:uiPriority w:val="1"/>
    <w:qFormat/>
    <w:rsid w:val="00B8062D"/>
    <w:pPr>
      <w:numPr>
        <w:ilvl w:val="2"/>
        <w:numId w:val="19"/>
      </w:numPr>
    </w:pPr>
    <w:rPr>
      <w:rFonts w:eastAsiaTheme="majorEastAsia" w:cstheme="majorBidi"/>
      <w:bCs w:val="0"/>
      <w:lang w:eastAsia="en-US"/>
    </w:rPr>
  </w:style>
  <w:style w:type="paragraph" w:customStyle="1" w:styleId="NbrHeading4">
    <w:name w:val="Nbr Heading 4"/>
    <w:basedOn w:val="Heading4"/>
    <w:next w:val="BodyText"/>
    <w:uiPriority w:val="1"/>
    <w:rsid w:val="00B8062D"/>
    <w:pPr>
      <w:keepNext/>
      <w:keepLines/>
      <w:numPr>
        <w:ilvl w:val="3"/>
        <w:numId w:val="19"/>
      </w:numPr>
    </w:pPr>
    <w:rPr>
      <w:rFonts w:eastAsiaTheme="majorEastAsia" w:cstheme="majorBidi"/>
      <w:bCs w:val="0"/>
      <w:iCs/>
      <w:lang w:eastAsia="en-US"/>
    </w:rPr>
  </w:style>
  <w:style w:type="paragraph" w:customStyle="1" w:styleId="NbrHeading5">
    <w:name w:val="Nbr Heading 5"/>
    <w:basedOn w:val="Heading5"/>
    <w:next w:val="BodyText"/>
    <w:uiPriority w:val="1"/>
    <w:rsid w:val="00B8062D"/>
    <w:pPr>
      <w:keepNext/>
      <w:keepLines/>
      <w:numPr>
        <w:ilvl w:val="4"/>
        <w:numId w:val="19"/>
      </w:numPr>
    </w:pPr>
    <w:rPr>
      <w:rFonts w:eastAsiaTheme="majorEastAsia" w:cstheme="majorBidi"/>
      <w:bCs w:val="0"/>
      <w:szCs w:val="22"/>
      <w:lang w:eastAsia="en-US"/>
    </w:rPr>
  </w:style>
  <w:style w:type="paragraph" w:customStyle="1" w:styleId="TableCaption">
    <w:name w:val="Table Caption"/>
    <w:basedOn w:val="BodyText"/>
    <w:next w:val="BodyText"/>
    <w:uiPriority w:val="6"/>
    <w:semiHidden/>
    <w:rsid w:val="00DC1304"/>
    <w:pPr>
      <w:keepNext/>
      <w:spacing w:before="240" w:line="240" w:lineRule="auto"/>
      <w:ind w:left="1134" w:hanging="1134"/>
    </w:pPr>
    <w:rPr>
      <w:rFonts w:eastAsiaTheme="minorHAnsi" w:cstheme="minorBidi"/>
      <w:b/>
      <w:sz w:val="20"/>
      <w:szCs w:val="22"/>
      <w:lang w:eastAsia="en-US"/>
    </w:rPr>
  </w:style>
  <w:style w:type="paragraph" w:customStyle="1" w:styleId="FigureStyle">
    <w:name w:val="Figure Style"/>
    <w:basedOn w:val="Normal"/>
    <w:next w:val="BodyText"/>
    <w:uiPriority w:val="6"/>
    <w:semiHidden/>
    <w:rsid w:val="00DC1304"/>
    <w:pPr>
      <w:spacing w:before="120" w:after="240"/>
      <w:jc w:val="center"/>
    </w:pPr>
  </w:style>
  <w:style w:type="numbering" w:customStyle="1" w:styleId="ListNbrHeading">
    <w:name w:val="List_NbrHeading"/>
    <w:uiPriority w:val="99"/>
    <w:rsid w:val="00B8062D"/>
    <w:pPr>
      <w:numPr>
        <w:numId w:val="11"/>
      </w:numPr>
    </w:pPr>
  </w:style>
  <w:style w:type="numbering" w:customStyle="1" w:styleId="ListAppendix">
    <w:name w:val="List_Appendix"/>
    <w:uiPriority w:val="99"/>
    <w:rsid w:val="00DC1304"/>
    <w:pPr>
      <w:numPr>
        <w:numId w:val="10"/>
      </w:numPr>
    </w:pPr>
  </w:style>
  <w:style w:type="table" w:customStyle="1" w:styleId="DarkBlueTable">
    <w:name w:val="Dark Blue Table"/>
    <w:basedOn w:val="TableNormal"/>
    <w:uiPriority w:val="99"/>
    <w:rsid w:val="00A068B8"/>
    <w:pPr>
      <w:spacing w:before="0" w:after="0"/>
    </w:pPr>
    <w:tblPr>
      <w:tblStyleRowBandSize w:val="1"/>
      <w:tblStyleColBandSize w:val="1"/>
      <w:tblBorders>
        <w:top w:val="single" w:sz="4" w:space="0" w:color="003366" w:themeColor="accent4"/>
        <w:bottom w:val="single" w:sz="4" w:space="0" w:color="003366" w:themeColor="accent4"/>
        <w:insideH w:val="single" w:sz="4" w:space="0" w:color="003366" w:themeColor="accent4"/>
      </w:tblBorders>
      <w:tblCellMar>
        <w:left w:w="0" w:type="dxa"/>
        <w:right w:w="0" w:type="dxa"/>
      </w:tblCellMar>
    </w:tblPr>
    <w:tblStylePr w:type="firstRow">
      <w:rPr>
        <w:color w:val="003366" w:themeColor="accent4"/>
      </w:rPr>
      <w:tblPr/>
      <w:tcPr>
        <w:tcBorders>
          <w:top w:val="single" w:sz="12" w:space="0" w:color="003366" w:themeColor="accent4"/>
          <w:left w:val="nil"/>
          <w:bottom w:val="single" w:sz="12" w:space="0" w:color="003366" w:themeColor="accent4"/>
          <w:right w:val="nil"/>
          <w:insideH w:val="nil"/>
          <w:insideV w:val="nil"/>
          <w:tl2br w:val="nil"/>
          <w:tr2bl w:val="nil"/>
        </w:tcBorders>
        <w:shd w:val="clear" w:color="auto" w:fill="FFFFFF" w:themeFill="background1"/>
      </w:tcPr>
    </w:tblStylePr>
    <w:tblStylePr w:type="lastRow">
      <w:tblPr/>
      <w:tcPr>
        <w:shd w:val="clear" w:color="auto" w:fill="D9E0E8"/>
      </w:tcPr>
    </w:tblStylePr>
    <w:tblStylePr w:type="firstCol">
      <w:rPr>
        <w:color w:val="auto"/>
      </w:rPr>
      <w:tblPr/>
      <w:tcPr>
        <w:shd w:val="clear" w:color="auto" w:fill="D9E0E8"/>
      </w:tcPr>
    </w:tblStylePr>
    <w:tblStylePr w:type="band2Vert">
      <w:tblPr/>
      <w:tcPr>
        <w:shd w:val="clear" w:color="auto" w:fill="D9E0E8"/>
      </w:tcPr>
    </w:tblStylePr>
    <w:tblStylePr w:type="band2Horz">
      <w:tblPr/>
      <w:tcPr>
        <w:shd w:val="clear" w:color="auto" w:fill="D9E0E8"/>
      </w:tcPr>
    </w:tblStylePr>
  </w:style>
  <w:style w:type="table" w:customStyle="1" w:styleId="OchreTable">
    <w:name w:val="Ochre Table"/>
    <w:basedOn w:val="TableNormal"/>
    <w:uiPriority w:val="99"/>
    <w:rsid w:val="00A068B8"/>
    <w:pPr>
      <w:spacing w:before="0" w:after="0"/>
    </w:pPr>
    <w:tblPr>
      <w:tblStyleRowBandSize w:val="1"/>
      <w:tblStyleColBandSize w:val="1"/>
      <w:tblBorders>
        <w:top w:val="single" w:sz="4" w:space="0" w:color="B88A00" w:themeColor="accent6"/>
        <w:bottom w:val="single" w:sz="4" w:space="0" w:color="B88A00" w:themeColor="accent6"/>
        <w:insideH w:val="single" w:sz="4" w:space="0" w:color="B88A00" w:themeColor="accent6"/>
      </w:tblBorders>
      <w:tblCellMar>
        <w:left w:w="0" w:type="dxa"/>
        <w:right w:w="0" w:type="dxa"/>
      </w:tblCellMar>
    </w:tblPr>
    <w:tblStylePr w:type="firstRow">
      <w:rPr>
        <w:color w:val="B88A00" w:themeColor="accent6"/>
      </w:rPr>
      <w:tblPr/>
      <w:tcPr>
        <w:tcBorders>
          <w:top w:val="single" w:sz="12" w:space="0" w:color="B88A00" w:themeColor="accent6"/>
          <w:left w:val="nil"/>
          <w:bottom w:val="single" w:sz="12" w:space="0" w:color="B88A00" w:themeColor="accent6"/>
          <w:right w:val="nil"/>
          <w:insideH w:val="nil"/>
          <w:insideV w:val="nil"/>
          <w:tl2br w:val="nil"/>
          <w:tr2bl w:val="nil"/>
        </w:tcBorders>
        <w:shd w:val="clear" w:color="auto" w:fill="FFFFFF" w:themeFill="background1"/>
      </w:tcPr>
    </w:tblStylePr>
    <w:tblStylePr w:type="lastRow">
      <w:tblPr/>
      <w:tcPr>
        <w:shd w:val="clear" w:color="auto" w:fill="F4EDD9"/>
      </w:tcPr>
    </w:tblStylePr>
    <w:tblStylePr w:type="firstCol">
      <w:rPr>
        <w:color w:val="auto"/>
      </w:rPr>
      <w:tblPr/>
      <w:tcPr>
        <w:shd w:val="clear" w:color="auto" w:fill="F4EDD9"/>
      </w:tcPr>
    </w:tblStylePr>
    <w:tblStylePr w:type="band2Vert">
      <w:tblPr/>
      <w:tcPr>
        <w:shd w:val="clear" w:color="auto" w:fill="F4EDD9"/>
      </w:tcPr>
    </w:tblStylePr>
    <w:tblStylePr w:type="band2Horz">
      <w:tblPr/>
      <w:tcPr>
        <w:shd w:val="clear" w:color="auto" w:fill="F4EDD9"/>
      </w:tcPr>
    </w:tblStylePr>
  </w:style>
  <w:style w:type="table" w:customStyle="1" w:styleId="ForestGreenTable">
    <w:name w:val="Forest Green Table"/>
    <w:basedOn w:val="TableNormal"/>
    <w:uiPriority w:val="99"/>
    <w:rsid w:val="00A068B8"/>
    <w:pPr>
      <w:spacing w:before="0" w:after="0"/>
    </w:pPr>
    <w:tblPr>
      <w:tblStyleRowBandSize w:val="1"/>
      <w:tblStyleColBandSize w:val="1"/>
      <w:tblBorders>
        <w:top w:val="single" w:sz="4" w:space="0" w:color="006666" w:themeColor="accent5"/>
        <w:bottom w:val="single" w:sz="4" w:space="0" w:color="006666" w:themeColor="accent5"/>
        <w:insideH w:val="single" w:sz="4" w:space="0" w:color="006666" w:themeColor="accent5"/>
      </w:tblBorders>
      <w:tblCellMar>
        <w:left w:w="0" w:type="dxa"/>
        <w:right w:w="0" w:type="dxa"/>
      </w:tblCellMar>
    </w:tblPr>
    <w:tblStylePr w:type="firstRow">
      <w:rPr>
        <w:color w:val="006666" w:themeColor="accent5"/>
      </w:rPr>
      <w:tblPr/>
      <w:tcPr>
        <w:tcBorders>
          <w:top w:val="single" w:sz="12" w:space="0" w:color="006666" w:themeColor="accent5"/>
          <w:left w:val="nil"/>
          <w:bottom w:val="single" w:sz="12" w:space="0" w:color="006666" w:themeColor="accent5"/>
          <w:right w:val="nil"/>
          <w:insideH w:val="nil"/>
          <w:insideV w:val="nil"/>
          <w:tl2br w:val="nil"/>
          <w:tr2bl w:val="nil"/>
        </w:tcBorders>
        <w:shd w:val="clear" w:color="auto" w:fill="FFFFFF" w:themeFill="background1"/>
      </w:tcPr>
    </w:tblStylePr>
    <w:tblStylePr w:type="lastRow">
      <w:tblPr/>
      <w:tcPr>
        <w:shd w:val="clear" w:color="auto" w:fill="D9E8E8"/>
      </w:tcPr>
    </w:tblStylePr>
    <w:tblStylePr w:type="firstCol">
      <w:tblPr/>
      <w:tcPr>
        <w:shd w:val="clear" w:color="auto" w:fill="D9E8E8"/>
      </w:tcPr>
    </w:tblStylePr>
    <w:tblStylePr w:type="band2Vert">
      <w:tblPr/>
      <w:tcPr>
        <w:shd w:val="clear" w:color="auto" w:fill="D9E8E8"/>
      </w:tcPr>
    </w:tblStylePr>
    <w:tblStylePr w:type="band2Horz">
      <w:tblPr/>
      <w:tcPr>
        <w:shd w:val="clear" w:color="auto" w:fill="D9E8E8"/>
      </w:tcPr>
    </w:tblStylePr>
  </w:style>
  <w:style w:type="table" w:styleId="TableGridLight">
    <w:name w:val="Grid Table Light"/>
    <w:basedOn w:val="TableNormal"/>
    <w:uiPriority w:val="40"/>
    <w:rsid w:val="0071110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ntroParagraph">
    <w:name w:val="Intro Paragraph"/>
    <w:basedOn w:val="Normal"/>
    <w:qFormat/>
    <w:rsid w:val="000D58F8"/>
    <w:pPr>
      <w:spacing w:before="240" w:after="240"/>
    </w:pPr>
    <w:rPr>
      <w:color w:val="59595B" w:themeColor="text2"/>
      <w:sz w:val="28"/>
      <w:lang w:val="en-US"/>
    </w:rPr>
  </w:style>
  <w:style w:type="character" w:customStyle="1" w:styleId="normaltextrun">
    <w:name w:val="normaltextrun"/>
    <w:basedOn w:val="DefaultParagraphFont"/>
    <w:rsid w:val="00FD4244"/>
  </w:style>
  <w:style w:type="character" w:customStyle="1" w:styleId="eop">
    <w:name w:val="eop"/>
    <w:basedOn w:val="DefaultParagraphFont"/>
    <w:rsid w:val="00FD4244"/>
  </w:style>
  <w:style w:type="paragraph" w:customStyle="1" w:styleId="paragraph">
    <w:name w:val="paragraph"/>
    <w:basedOn w:val="Normal"/>
    <w:rsid w:val="00D242A5"/>
    <w:pPr>
      <w:spacing w:before="100" w:beforeAutospacing="1" w:after="100" w:afterAutospacing="1"/>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86496D"/>
    <w:rPr>
      <w:color w:val="605E5C"/>
      <w:shd w:val="clear" w:color="auto" w:fill="E1DFDD"/>
    </w:rPr>
  </w:style>
  <w:style w:type="character" w:styleId="Mention">
    <w:name w:val="Mention"/>
    <w:basedOn w:val="DefaultParagraphFont"/>
    <w:uiPriority w:val="99"/>
    <w:unhideWhenUsed/>
    <w:rsid w:val="00F04E6F"/>
    <w:rPr>
      <w:color w:val="2B579A"/>
      <w:shd w:val="clear" w:color="auto" w:fill="E1DFDD"/>
    </w:rPr>
  </w:style>
  <w:style w:type="paragraph" w:styleId="Revision">
    <w:name w:val="Revision"/>
    <w:hidden/>
    <w:uiPriority w:val="99"/>
    <w:semiHidden/>
    <w:rsid w:val="00E4034E"/>
    <w:pPr>
      <w:spacing w:before="0" w:after="0"/>
    </w:pPr>
  </w:style>
  <w:style w:type="paragraph" w:styleId="Bibliography">
    <w:name w:val="Bibliography"/>
    <w:basedOn w:val="Normal"/>
    <w:next w:val="Normal"/>
    <w:uiPriority w:val="99"/>
    <w:semiHidden/>
    <w:rsid w:val="0043398B"/>
  </w:style>
  <w:style w:type="paragraph" w:styleId="BlockText">
    <w:name w:val="Block Text"/>
    <w:basedOn w:val="Normal"/>
    <w:uiPriority w:val="99"/>
    <w:semiHidden/>
    <w:unhideWhenUsed/>
    <w:rsid w:val="0043398B"/>
    <w:pPr>
      <w:pBdr>
        <w:top w:val="single" w:sz="2" w:space="10" w:color="E6172F" w:themeColor="accent1"/>
        <w:left w:val="single" w:sz="2" w:space="10" w:color="E6172F" w:themeColor="accent1"/>
        <w:bottom w:val="single" w:sz="2" w:space="10" w:color="E6172F" w:themeColor="accent1"/>
        <w:right w:val="single" w:sz="2" w:space="10" w:color="E6172F" w:themeColor="accent1"/>
      </w:pBdr>
      <w:ind w:left="1152" w:right="1152"/>
    </w:pPr>
    <w:rPr>
      <w:rFonts w:eastAsiaTheme="minorEastAsia"/>
      <w:i/>
      <w:iCs/>
      <w:color w:val="E6172F" w:themeColor="accent1"/>
    </w:rPr>
  </w:style>
  <w:style w:type="paragraph" w:styleId="BodyTextFirstIndent">
    <w:name w:val="Body Text First Indent"/>
    <w:basedOn w:val="BodyText"/>
    <w:link w:val="BodyTextFirstIndentChar"/>
    <w:uiPriority w:val="99"/>
    <w:semiHidden/>
    <w:unhideWhenUsed/>
    <w:rsid w:val="0043398B"/>
    <w:pPr>
      <w:spacing w:before="0" w:after="0" w:line="240" w:lineRule="auto"/>
      <w:ind w:firstLine="360"/>
    </w:pPr>
    <w:rPr>
      <w:rFonts w:eastAsiaTheme="minorHAnsi" w:cstheme="minorBidi"/>
      <w:szCs w:val="22"/>
      <w:lang w:eastAsia="en-US"/>
    </w:rPr>
  </w:style>
  <w:style w:type="character" w:customStyle="1" w:styleId="BodyTextFirstIndentChar">
    <w:name w:val="Body Text First Indent Char"/>
    <w:basedOn w:val="BodyTextChar"/>
    <w:link w:val="BodyTextFirstIndent"/>
    <w:uiPriority w:val="99"/>
    <w:semiHidden/>
    <w:rsid w:val="0043398B"/>
    <w:rPr>
      <w:rFonts w:eastAsia="Times New Roman" w:cs="Times New Roman"/>
      <w:szCs w:val="24"/>
      <w:lang w:eastAsia="en-AU"/>
    </w:rPr>
  </w:style>
  <w:style w:type="paragraph" w:styleId="BodyTextFirstIndent2">
    <w:name w:val="Body Text First Indent 2"/>
    <w:basedOn w:val="BodyTextIndent"/>
    <w:link w:val="BodyTextFirstIndent2Char"/>
    <w:uiPriority w:val="99"/>
    <w:semiHidden/>
    <w:unhideWhenUsed/>
    <w:rsid w:val="0043398B"/>
    <w:pPr>
      <w:spacing w:after="0"/>
      <w:ind w:left="360" w:firstLine="360"/>
    </w:pPr>
  </w:style>
  <w:style w:type="character" w:customStyle="1" w:styleId="BodyTextFirstIndent2Char">
    <w:name w:val="Body Text First Indent 2 Char"/>
    <w:basedOn w:val="BodyTextIndentChar"/>
    <w:link w:val="BodyTextFirstIndent2"/>
    <w:uiPriority w:val="99"/>
    <w:semiHidden/>
    <w:rsid w:val="0043398B"/>
    <w:rPr>
      <w:sz w:val="24"/>
    </w:rPr>
  </w:style>
  <w:style w:type="paragraph" w:styleId="BodyTextIndent2">
    <w:name w:val="Body Text Indent 2"/>
    <w:basedOn w:val="Normal"/>
    <w:link w:val="BodyTextIndent2Char"/>
    <w:uiPriority w:val="99"/>
    <w:semiHidden/>
    <w:unhideWhenUsed/>
    <w:rsid w:val="0043398B"/>
    <w:pPr>
      <w:spacing w:after="120" w:line="480" w:lineRule="auto"/>
      <w:ind w:left="283"/>
    </w:pPr>
  </w:style>
  <w:style w:type="character" w:customStyle="1" w:styleId="BodyTextIndent2Char">
    <w:name w:val="Body Text Indent 2 Char"/>
    <w:basedOn w:val="DefaultParagraphFont"/>
    <w:link w:val="BodyTextIndent2"/>
    <w:uiPriority w:val="99"/>
    <w:semiHidden/>
    <w:rsid w:val="0043398B"/>
  </w:style>
  <w:style w:type="paragraph" w:styleId="BodyTextIndent3">
    <w:name w:val="Body Text Indent 3"/>
    <w:basedOn w:val="Normal"/>
    <w:link w:val="BodyTextIndent3Char"/>
    <w:uiPriority w:val="99"/>
    <w:semiHidden/>
    <w:unhideWhenUsed/>
    <w:rsid w:val="0043398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3398B"/>
    <w:rPr>
      <w:sz w:val="16"/>
      <w:szCs w:val="16"/>
    </w:rPr>
  </w:style>
  <w:style w:type="paragraph" w:styleId="Closing">
    <w:name w:val="Closing"/>
    <w:basedOn w:val="Normal"/>
    <w:link w:val="ClosingChar"/>
    <w:uiPriority w:val="99"/>
    <w:semiHidden/>
    <w:unhideWhenUsed/>
    <w:rsid w:val="0043398B"/>
    <w:pPr>
      <w:ind w:left="4252"/>
    </w:pPr>
  </w:style>
  <w:style w:type="character" w:customStyle="1" w:styleId="ClosingChar">
    <w:name w:val="Closing Char"/>
    <w:basedOn w:val="DefaultParagraphFont"/>
    <w:link w:val="Closing"/>
    <w:uiPriority w:val="99"/>
    <w:semiHidden/>
    <w:rsid w:val="0043398B"/>
  </w:style>
  <w:style w:type="paragraph" w:styleId="Date">
    <w:name w:val="Date"/>
    <w:basedOn w:val="Normal"/>
    <w:next w:val="Normal"/>
    <w:link w:val="DateChar"/>
    <w:uiPriority w:val="99"/>
    <w:semiHidden/>
    <w:unhideWhenUsed/>
    <w:rsid w:val="0043398B"/>
  </w:style>
  <w:style w:type="character" w:customStyle="1" w:styleId="DateChar">
    <w:name w:val="Date Char"/>
    <w:basedOn w:val="DefaultParagraphFont"/>
    <w:link w:val="Date"/>
    <w:uiPriority w:val="99"/>
    <w:semiHidden/>
    <w:rsid w:val="0043398B"/>
  </w:style>
  <w:style w:type="paragraph" w:styleId="DocumentMap">
    <w:name w:val="Document Map"/>
    <w:basedOn w:val="Normal"/>
    <w:link w:val="DocumentMapChar"/>
    <w:uiPriority w:val="99"/>
    <w:semiHidden/>
    <w:unhideWhenUsed/>
    <w:rsid w:val="0043398B"/>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3398B"/>
    <w:rPr>
      <w:rFonts w:ascii="Segoe UI" w:hAnsi="Segoe UI" w:cs="Segoe UI"/>
      <w:sz w:val="16"/>
      <w:szCs w:val="16"/>
    </w:rPr>
  </w:style>
  <w:style w:type="paragraph" w:styleId="E-mailSignature">
    <w:name w:val="E-mail Signature"/>
    <w:basedOn w:val="Normal"/>
    <w:link w:val="E-mailSignatureChar"/>
    <w:uiPriority w:val="99"/>
    <w:semiHidden/>
    <w:unhideWhenUsed/>
    <w:rsid w:val="0043398B"/>
  </w:style>
  <w:style w:type="character" w:customStyle="1" w:styleId="E-mailSignatureChar">
    <w:name w:val="E-mail Signature Char"/>
    <w:basedOn w:val="DefaultParagraphFont"/>
    <w:link w:val="E-mailSignature"/>
    <w:uiPriority w:val="99"/>
    <w:semiHidden/>
    <w:rsid w:val="0043398B"/>
  </w:style>
  <w:style w:type="paragraph" w:styleId="EndnoteText">
    <w:name w:val="endnote text"/>
    <w:basedOn w:val="Normal"/>
    <w:link w:val="EndnoteTextChar"/>
    <w:uiPriority w:val="99"/>
    <w:semiHidden/>
    <w:unhideWhenUsed/>
    <w:rsid w:val="0043398B"/>
    <w:rPr>
      <w:sz w:val="20"/>
      <w:szCs w:val="20"/>
    </w:rPr>
  </w:style>
  <w:style w:type="character" w:customStyle="1" w:styleId="EndnoteTextChar">
    <w:name w:val="Endnote Text Char"/>
    <w:basedOn w:val="DefaultParagraphFont"/>
    <w:link w:val="EndnoteText"/>
    <w:uiPriority w:val="99"/>
    <w:semiHidden/>
    <w:rsid w:val="0043398B"/>
    <w:rPr>
      <w:sz w:val="20"/>
      <w:szCs w:val="20"/>
    </w:rPr>
  </w:style>
  <w:style w:type="paragraph" w:styleId="EnvelopeAddress">
    <w:name w:val="envelope address"/>
    <w:basedOn w:val="Normal"/>
    <w:uiPriority w:val="99"/>
    <w:semiHidden/>
    <w:unhideWhenUsed/>
    <w:rsid w:val="0043398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3398B"/>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43398B"/>
    <w:rPr>
      <w:i/>
      <w:iCs/>
    </w:rPr>
  </w:style>
  <w:style w:type="character" w:customStyle="1" w:styleId="HTMLAddressChar">
    <w:name w:val="HTML Address Char"/>
    <w:basedOn w:val="DefaultParagraphFont"/>
    <w:link w:val="HTMLAddress"/>
    <w:uiPriority w:val="99"/>
    <w:semiHidden/>
    <w:rsid w:val="0043398B"/>
    <w:rPr>
      <w:i/>
      <w:iCs/>
    </w:rPr>
  </w:style>
  <w:style w:type="paragraph" w:styleId="HTMLPreformatted">
    <w:name w:val="HTML Preformatted"/>
    <w:basedOn w:val="Normal"/>
    <w:link w:val="HTMLPreformattedChar"/>
    <w:uiPriority w:val="99"/>
    <w:semiHidden/>
    <w:unhideWhenUsed/>
    <w:rsid w:val="0043398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3398B"/>
    <w:rPr>
      <w:rFonts w:ascii="Consolas" w:hAnsi="Consolas"/>
      <w:sz w:val="20"/>
      <w:szCs w:val="20"/>
    </w:rPr>
  </w:style>
  <w:style w:type="paragraph" w:styleId="Index1">
    <w:name w:val="index 1"/>
    <w:basedOn w:val="Normal"/>
    <w:next w:val="Normal"/>
    <w:autoRedefine/>
    <w:uiPriority w:val="99"/>
    <w:semiHidden/>
    <w:unhideWhenUsed/>
    <w:rsid w:val="0043398B"/>
    <w:pPr>
      <w:ind w:left="220" w:hanging="220"/>
    </w:pPr>
  </w:style>
  <w:style w:type="paragraph" w:styleId="Index2">
    <w:name w:val="index 2"/>
    <w:basedOn w:val="Normal"/>
    <w:next w:val="Normal"/>
    <w:autoRedefine/>
    <w:uiPriority w:val="99"/>
    <w:semiHidden/>
    <w:unhideWhenUsed/>
    <w:rsid w:val="0043398B"/>
    <w:pPr>
      <w:ind w:left="440" w:hanging="220"/>
    </w:pPr>
  </w:style>
  <w:style w:type="paragraph" w:styleId="Index3">
    <w:name w:val="index 3"/>
    <w:basedOn w:val="Normal"/>
    <w:next w:val="Normal"/>
    <w:autoRedefine/>
    <w:uiPriority w:val="99"/>
    <w:semiHidden/>
    <w:unhideWhenUsed/>
    <w:rsid w:val="0043398B"/>
    <w:pPr>
      <w:ind w:left="660" w:hanging="220"/>
    </w:pPr>
  </w:style>
  <w:style w:type="paragraph" w:styleId="Index4">
    <w:name w:val="index 4"/>
    <w:basedOn w:val="Normal"/>
    <w:next w:val="Normal"/>
    <w:autoRedefine/>
    <w:uiPriority w:val="99"/>
    <w:semiHidden/>
    <w:unhideWhenUsed/>
    <w:rsid w:val="0043398B"/>
    <w:pPr>
      <w:ind w:left="880" w:hanging="220"/>
    </w:pPr>
  </w:style>
  <w:style w:type="paragraph" w:styleId="Index5">
    <w:name w:val="index 5"/>
    <w:basedOn w:val="Normal"/>
    <w:next w:val="Normal"/>
    <w:autoRedefine/>
    <w:uiPriority w:val="99"/>
    <w:semiHidden/>
    <w:unhideWhenUsed/>
    <w:rsid w:val="0043398B"/>
    <w:pPr>
      <w:ind w:left="1100" w:hanging="220"/>
    </w:pPr>
  </w:style>
  <w:style w:type="paragraph" w:styleId="Index6">
    <w:name w:val="index 6"/>
    <w:basedOn w:val="Normal"/>
    <w:next w:val="Normal"/>
    <w:autoRedefine/>
    <w:uiPriority w:val="99"/>
    <w:semiHidden/>
    <w:unhideWhenUsed/>
    <w:rsid w:val="0043398B"/>
    <w:pPr>
      <w:ind w:left="1320" w:hanging="220"/>
    </w:pPr>
  </w:style>
  <w:style w:type="paragraph" w:styleId="Index7">
    <w:name w:val="index 7"/>
    <w:basedOn w:val="Normal"/>
    <w:next w:val="Normal"/>
    <w:autoRedefine/>
    <w:uiPriority w:val="99"/>
    <w:semiHidden/>
    <w:unhideWhenUsed/>
    <w:rsid w:val="0043398B"/>
    <w:pPr>
      <w:ind w:left="1540" w:hanging="220"/>
    </w:pPr>
  </w:style>
  <w:style w:type="paragraph" w:styleId="Index8">
    <w:name w:val="index 8"/>
    <w:basedOn w:val="Normal"/>
    <w:next w:val="Normal"/>
    <w:autoRedefine/>
    <w:uiPriority w:val="99"/>
    <w:semiHidden/>
    <w:unhideWhenUsed/>
    <w:rsid w:val="0043398B"/>
    <w:pPr>
      <w:ind w:left="1760" w:hanging="220"/>
    </w:pPr>
  </w:style>
  <w:style w:type="paragraph" w:styleId="Index9">
    <w:name w:val="index 9"/>
    <w:basedOn w:val="Normal"/>
    <w:next w:val="Normal"/>
    <w:autoRedefine/>
    <w:uiPriority w:val="99"/>
    <w:semiHidden/>
    <w:unhideWhenUsed/>
    <w:rsid w:val="0043398B"/>
    <w:pPr>
      <w:ind w:left="1980" w:hanging="220"/>
    </w:pPr>
  </w:style>
  <w:style w:type="paragraph" w:styleId="IndexHeading">
    <w:name w:val="index heading"/>
    <w:basedOn w:val="Normal"/>
    <w:next w:val="Index1"/>
    <w:uiPriority w:val="99"/>
    <w:semiHidden/>
    <w:rsid w:val="0043398B"/>
    <w:rPr>
      <w:rFonts w:asciiTheme="majorHAnsi" w:eastAsiaTheme="majorEastAsia" w:hAnsiTheme="majorHAnsi" w:cstheme="majorBidi"/>
      <w:b/>
      <w:bCs/>
    </w:rPr>
  </w:style>
  <w:style w:type="paragraph" w:styleId="IntenseQuote">
    <w:name w:val="Intense Quote"/>
    <w:basedOn w:val="Normal"/>
    <w:next w:val="Normal"/>
    <w:link w:val="IntenseQuoteChar"/>
    <w:uiPriority w:val="99"/>
    <w:semiHidden/>
    <w:rsid w:val="0043398B"/>
    <w:pPr>
      <w:pBdr>
        <w:top w:val="single" w:sz="4" w:space="10" w:color="E6172F" w:themeColor="accent1"/>
        <w:bottom w:val="single" w:sz="4" w:space="10" w:color="E6172F" w:themeColor="accent1"/>
      </w:pBdr>
      <w:spacing w:before="360" w:after="360"/>
      <w:ind w:left="864" w:right="864"/>
      <w:jc w:val="center"/>
    </w:pPr>
    <w:rPr>
      <w:i/>
      <w:iCs/>
      <w:color w:val="E6172F" w:themeColor="accent1"/>
    </w:rPr>
  </w:style>
  <w:style w:type="character" w:customStyle="1" w:styleId="IntenseQuoteChar">
    <w:name w:val="Intense Quote Char"/>
    <w:basedOn w:val="DefaultParagraphFont"/>
    <w:link w:val="IntenseQuote"/>
    <w:uiPriority w:val="99"/>
    <w:semiHidden/>
    <w:rsid w:val="0043398B"/>
    <w:rPr>
      <w:i/>
      <w:iCs/>
      <w:color w:val="E6172F" w:themeColor="accent1"/>
    </w:rPr>
  </w:style>
  <w:style w:type="paragraph" w:styleId="List">
    <w:name w:val="List"/>
    <w:basedOn w:val="Normal"/>
    <w:uiPriority w:val="99"/>
    <w:semiHidden/>
    <w:unhideWhenUsed/>
    <w:rsid w:val="0043398B"/>
    <w:pPr>
      <w:ind w:left="283" w:hanging="283"/>
      <w:contextualSpacing/>
    </w:pPr>
  </w:style>
  <w:style w:type="paragraph" w:styleId="List2">
    <w:name w:val="List 2"/>
    <w:basedOn w:val="Normal"/>
    <w:uiPriority w:val="99"/>
    <w:semiHidden/>
    <w:unhideWhenUsed/>
    <w:rsid w:val="0043398B"/>
    <w:pPr>
      <w:ind w:left="566" w:hanging="283"/>
      <w:contextualSpacing/>
    </w:pPr>
  </w:style>
  <w:style w:type="paragraph" w:styleId="List3">
    <w:name w:val="List 3"/>
    <w:basedOn w:val="Normal"/>
    <w:uiPriority w:val="99"/>
    <w:semiHidden/>
    <w:unhideWhenUsed/>
    <w:rsid w:val="0043398B"/>
    <w:pPr>
      <w:ind w:left="849" w:hanging="283"/>
      <w:contextualSpacing/>
    </w:pPr>
  </w:style>
  <w:style w:type="paragraph" w:styleId="List4">
    <w:name w:val="List 4"/>
    <w:basedOn w:val="Normal"/>
    <w:uiPriority w:val="99"/>
    <w:semiHidden/>
    <w:unhideWhenUsed/>
    <w:rsid w:val="0043398B"/>
    <w:pPr>
      <w:ind w:left="1132" w:hanging="283"/>
      <w:contextualSpacing/>
    </w:pPr>
  </w:style>
  <w:style w:type="paragraph" w:styleId="List5">
    <w:name w:val="List 5"/>
    <w:basedOn w:val="Normal"/>
    <w:uiPriority w:val="99"/>
    <w:semiHidden/>
    <w:unhideWhenUsed/>
    <w:rsid w:val="0043398B"/>
    <w:pPr>
      <w:ind w:left="1415" w:hanging="283"/>
      <w:contextualSpacing/>
    </w:pPr>
  </w:style>
  <w:style w:type="paragraph" w:styleId="ListContinue">
    <w:name w:val="List Continue"/>
    <w:basedOn w:val="Normal"/>
    <w:uiPriority w:val="99"/>
    <w:semiHidden/>
    <w:unhideWhenUsed/>
    <w:rsid w:val="0043398B"/>
    <w:pPr>
      <w:spacing w:after="120"/>
      <w:ind w:left="283"/>
      <w:contextualSpacing/>
    </w:pPr>
  </w:style>
  <w:style w:type="paragraph" w:styleId="ListContinue2">
    <w:name w:val="List Continue 2"/>
    <w:basedOn w:val="Normal"/>
    <w:uiPriority w:val="99"/>
    <w:semiHidden/>
    <w:unhideWhenUsed/>
    <w:rsid w:val="0043398B"/>
    <w:pPr>
      <w:spacing w:after="120"/>
      <w:ind w:left="566"/>
      <w:contextualSpacing/>
    </w:pPr>
  </w:style>
  <w:style w:type="paragraph" w:styleId="ListContinue3">
    <w:name w:val="List Continue 3"/>
    <w:basedOn w:val="Normal"/>
    <w:uiPriority w:val="99"/>
    <w:semiHidden/>
    <w:unhideWhenUsed/>
    <w:rsid w:val="0043398B"/>
    <w:pPr>
      <w:spacing w:after="120"/>
      <w:ind w:left="849"/>
      <w:contextualSpacing/>
    </w:pPr>
  </w:style>
  <w:style w:type="paragraph" w:styleId="ListContinue4">
    <w:name w:val="List Continue 4"/>
    <w:basedOn w:val="Normal"/>
    <w:uiPriority w:val="99"/>
    <w:semiHidden/>
    <w:unhideWhenUsed/>
    <w:rsid w:val="0043398B"/>
    <w:pPr>
      <w:spacing w:after="120"/>
      <w:ind w:left="1132"/>
      <w:contextualSpacing/>
    </w:pPr>
  </w:style>
  <w:style w:type="paragraph" w:styleId="ListContinue5">
    <w:name w:val="List Continue 5"/>
    <w:basedOn w:val="Normal"/>
    <w:uiPriority w:val="99"/>
    <w:semiHidden/>
    <w:unhideWhenUsed/>
    <w:rsid w:val="0043398B"/>
    <w:pPr>
      <w:spacing w:after="120"/>
      <w:ind w:left="1415"/>
      <w:contextualSpacing/>
    </w:pPr>
  </w:style>
  <w:style w:type="paragraph" w:styleId="MacroText">
    <w:name w:val="macro"/>
    <w:link w:val="MacroTextChar"/>
    <w:uiPriority w:val="99"/>
    <w:semiHidden/>
    <w:unhideWhenUsed/>
    <w:rsid w:val="0043398B"/>
    <w:pPr>
      <w:tabs>
        <w:tab w:val="left" w:pos="480"/>
        <w:tab w:val="left" w:pos="960"/>
        <w:tab w:val="left" w:pos="1440"/>
        <w:tab w:val="left" w:pos="1920"/>
        <w:tab w:val="left" w:pos="2400"/>
        <w:tab w:val="left" w:pos="2880"/>
        <w:tab w:val="left" w:pos="3360"/>
        <w:tab w:val="left" w:pos="3840"/>
        <w:tab w:val="left" w:pos="4320"/>
      </w:tabs>
      <w:spacing w:before="0" w:after="0"/>
    </w:pPr>
    <w:rPr>
      <w:rFonts w:ascii="Consolas" w:hAnsi="Consolas"/>
      <w:sz w:val="20"/>
      <w:szCs w:val="20"/>
    </w:rPr>
  </w:style>
  <w:style w:type="character" w:customStyle="1" w:styleId="MacroTextChar">
    <w:name w:val="Macro Text Char"/>
    <w:basedOn w:val="DefaultParagraphFont"/>
    <w:link w:val="MacroText"/>
    <w:uiPriority w:val="99"/>
    <w:semiHidden/>
    <w:rsid w:val="0043398B"/>
    <w:rPr>
      <w:rFonts w:ascii="Consolas" w:hAnsi="Consolas"/>
      <w:sz w:val="20"/>
      <w:szCs w:val="20"/>
    </w:rPr>
  </w:style>
  <w:style w:type="paragraph" w:styleId="MessageHeader">
    <w:name w:val="Message Header"/>
    <w:basedOn w:val="Normal"/>
    <w:link w:val="MessageHeaderChar"/>
    <w:uiPriority w:val="99"/>
    <w:semiHidden/>
    <w:unhideWhenUsed/>
    <w:rsid w:val="0043398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3398B"/>
    <w:rPr>
      <w:rFonts w:asciiTheme="majorHAnsi" w:eastAsiaTheme="majorEastAsia" w:hAnsiTheme="majorHAnsi" w:cstheme="majorBidi"/>
      <w:sz w:val="24"/>
      <w:szCs w:val="24"/>
      <w:shd w:val="pct20" w:color="auto" w:fill="auto"/>
    </w:rPr>
  </w:style>
  <w:style w:type="paragraph" w:styleId="NoSpacing">
    <w:name w:val="No Spacing"/>
    <w:uiPriority w:val="1"/>
    <w:semiHidden/>
    <w:rsid w:val="0043398B"/>
    <w:pPr>
      <w:spacing w:before="0" w:after="0"/>
    </w:pPr>
  </w:style>
  <w:style w:type="paragraph" w:styleId="NormalWeb">
    <w:name w:val="Normal (Web)"/>
    <w:basedOn w:val="Normal"/>
    <w:uiPriority w:val="99"/>
    <w:semiHidden/>
    <w:unhideWhenUsed/>
    <w:rsid w:val="0043398B"/>
    <w:rPr>
      <w:rFonts w:ascii="Times New Roman" w:hAnsi="Times New Roman" w:cs="Times New Roman"/>
      <w:sz w:val="24"/>
      <w:szCs w:val="24"/>
    </w:rPr>
  </w:style>
  <w:style w:type="paragraph" w:styleId="NormalIndent">
    <w:name w:val="Normal Indent"/>
    <w:basedOn w:val="Normal"/>
    <w:uiPriority w:val="99"/>
    <w:semiHidden/>
    <w:unhideWhenUsed/>
    <w:rsid w:val="0043398B"/>
    <w:pPr>
      <w:ind w:left="720"/>
    </w:pPr>
  </w:style>
  <w:style w:type="paragraph" w:styleId="NoteHeading">
    <w:name w:val="Note Heading"/>
    <w:basedOn w:val="Normal"/>
    <w:next w:val="Normal"/>
    <w:link w:val="NoteHeadingChar"/>
    <w:uiPriority w:val="99"/>
    <w:semiHidden/>
    <w:unhideWhenUsed/>
    <w:rsid w:val="0043398B"/>
  </w:style>
  <w:style w:type="character" w:customStyle="1" w:styleId="NoteHeadingChar">
    <w:name w:val="Note Heading Char"/>
    <w:basedOn w:val="DefaultParagraphFont"/>
    <w:link w:val="NoteHeading"/>
    <w:uiPriority w:val="99"/>
    <w:semiHidden/>
    <w:rsid w:val="0043398B"/>
  </w:style>
  <w:style w:type="paragraph" w:styleId="PlainText">
    <w:name w:val="Plain Text"/>
    <w:basedOn w:val="Normal"/>
    <w:link w:val="PlainTextChar"/>
    <w:uiPriority w:val="99"/>
    <w:semiHidden/>
    <w:unhideWhenUsed/>
    <w:rsid w:val="0043398B"/>
    <w:rPr>
      <w:rFonts w:ascii="Consolas" w:hAnsi="Consolas"/>
      <w:sz w:val="21"/>
      <w:szCs w:val="21"/>
    </w:rPr>
  </w:style>
  <w:style w:type="character" w:customStyle="1" w:styleId="PlainTextChar">
    <w:name w:val="Plain Text Char"/>
    <w:basedOn w:val="DefaultParagraphFont"/>
    <w:link w:val="PlainText"/>
    <w:uiPriority w:val="99"/>
    <w:semiHidden/>
    <w:rsid w:val="0043398B"/>
    <w:rPr>
      <w:rFonts w:ascii="Consolas" w:hAnsi="Consolas"/>
      <w:sz w:val="21"/>
      <w:szCs w:val="21"/>
    </w:rPr>
  </w:style>
  <w:style w:type="paragraph" w:styleId="Quote">
    <w:name w:val="Quote"/>
    <w:basedOn w:val="Normal"/>
    <w:next w:val="Normal"/>
    <w:link w:val="QuoteChar"/>
    <w:uiPriority w:val="99"/>
    <w:semiHidden/>
    <w:qFormat/>
    <w:rsid w:val="0043398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43398B"/>
    <w:rPr>
      <w:i/>
      <w:iCs/>
      <w:color w:val="404040" w:themeColor="text1" w:themeTint="BF"/>
    </w:rPr>
  </w:style>
  <w:style w:type="paragraph" w:styleId="Salutation">
    <w:name w:val="Salutation"/>
    <w:basedOn w:val="Normal"/>
    <w:next w:val="Normal"/>
    <w:link w:val="SalutationChar"/>
    <w:uiPriority w:val="99"/>
    <w:semiHidden/>
    <w:unhideWhenUsed/>
    <w:rsid w:val="0043398B"/>
  </w:style>
  <w:style w:type="character" w:customStyle="1" w:styleId="SalutationChar">
    <w:name w:val="Salutation Char"/>
    <w:basedOn w:val="DefaultParagraphFont"/>
    <w:link w:val="Salutation"/>
    <w:uiPriority w:val="99"/>
    <w:semiHidden/>
    <w:rsid w:val="0043398B"/>
  </w:style>
  <w:style w:type="paragraph" w:styleId="Signature">
    <w:name w:val="Signature"/>
    <w:basedOn w:val="Normal"/>
    <w:link w:val="SignatureChar"/>
    <w:uiPriority w:val="99"/>
    <w:semiHidden/>
    <w:unhideWhenUsed/>
    <w:rsid w:val="0043398B"/>
    <w:pPr>
      <w:ind w:left="4252"/>
    </w:pPr>
  </w:style>
  <w:style w:type="character" w:customStyle="1" w:styleId="SignatureChar">
    <w:name w:val="Signature Char"/>
    <w:basedOn w:val="DefaultParagraphFont"/>
    <w:link w:val="Signature"/>
    <w:uiPriority w:val="99"/>
    <w:semiHidden/>
    <w:rsid w:val="0043398B"/>
  </w:style>
  <w:style w:type="paragraph" w:styleId="TOAHeading">
    <w:name w:val="toa heading"/>
    <w:basedOn w:val="Normal"/>
    <w:next w:val="Normal"/>
    <w:uiPriority w:val="99"/>
    <w:semiHidden/>
    <w:unhideWhenUsed/>
    <w:rsid w:val="0043398B"/>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948936">
      <w:bodyDiv w:val="1"/>
      <w:marLeft w:val="0"/>
      <w:marRight w:val="0"/>
      <w:marTop w:val="0"/>
      <w:marBottom w:val="0"/>
      <w:divBdr>
        <w:top w:val="none" w:sz="0" w:space="0" w:color="auto"/>
        <w:left w:val="none" w:sz="0" w:space="0" w:color="auto"/>
        <w:bottom w:val="none" w:sz="0" w:space="0" w:color="auto"/>
        <w:right w:val="none" w:sz="0" w:space="0" w:color="auto"/>
      </w:divBdr>
    </w:div>
    <w:div w:id="671489830">
      <w:bodyDiv w:val="1"/>
      <w:marLeft w:val="0"/>
      <w:marRight w:val="0"/>
      <w:marTop w:val="0"/>
      <w:marBottom w:val="0"/>
      <w:divBdr>
        <w:top w:val="none" w:sz="0" w:space="0" w:color="auto"/>
        <w:left w:val="none" w:sz="0" w:space="0" w:color="auto"/>
        <w:bottom w:val="none" w:sz="0" w:space="0" w:color="auto"/>
        <w:right w:val="none" w:sz="0" w:space="0" w:color="auto"/>
      </w:divBdr>
    </w:div>
    <w:div w:id="1090463555">
      <w:bodyDiv w:val="1"/>
      <w:marLeft w:val="0"/>
      <w:marRight w:val="0"/>
      <w:marTop w:val="0"/>
      <w:marBottom w:val="0"/>
      <w:divBdr>
        <w:top w:val="none" w:sz="0" w:space="0" w:color="auto"/>
        <w:left w:val="none" w:sz="0" w:space="0" w:color="auto"/>
        <w:bottom w:val="none" w:sz="0" w:space="0" w:color="auto"/>
        <w:right w:val="none" w:sz="0" w:space="0" w:color="auto"/>
      </w:divBdr>
    </w:div>
    <w:div w:id="1191458428">
      <w:bodyDiv w:val="1"/>
      <w:marLeft w:val="0"/>
      <w:marRight w:val="0"/>
      <w:marTop w:val="0"/>
      <w:marBottom w:val="0"/>
      <w:divBdr>
        <w:top w:val="none" w:sz="0" w:space="0" w:color="auto"/>
        <w:left w:val="none" w:sz="0" w:space="0" w:color="auto"/>
        <w:bottom w:val="none" w:sz="0" w:space="0" w:color="auto"/>
        <w:right w:val="none" w:sz="0" w:space="0" w:color="auto"/>
      </w:divBdr>
    </w:div>
    <w:div w:id="1268777816">
      <w:bodyDiv w:val="1"/>
      <w:marLeft w:val="0"/>
      <w:marRight w:val="0"/>
      <w:marTop w:val="0"/>
      <w:marBottom w:val="0"/>
      <w:divBdr>
        <w:top w:val="none" w:sz="0" w:space="0" w:color="auto"/>
        <w:left w:val="none" w:sz="0" w:space="0" w:color="auto"/>
        <w:bottom w:val="none" w:sz="0" w:space="0" w:color="auto"/>
        <w:right w:val="none" w:sz="0" w:space="0" w:color="auto"/>
      </w:divBdr>
    </w:div>
    <w:div w:id="1480153881">
      <w:bodyDiv w:val="1"/>
      <w:marLeft w:val="0"/>
      <w:marRight w:val="0"/>
      <w:marTop w:val="0"/>
      <w:marBottom w:val="0"/>
      <w:divBdr>
        <w:top w:val="none" w:sz="0" w:space="0" w:color="auto"/>
        <w:left w:val="none" w:sz="0" w:space="0" w:color="auto"/>
        <w:bottom w:val="none" w:sz="0" w:space="0" w:color="auto"/>
        <w:right w:val="none" w:sz="0" w:space="0" w:color="auto"/>
      </w:divBdr>
    </w:div>
    <w:div w:id="1758283738">
      <w:bodyDiv w:val="1"/>
      <w:marLeft w:val="0"/>
      <w:marRight w:val="0"/>
      <w:marTop w:val="0"/>
      <w:marBottom w:val="0"/>
      <w:divBdr>
        <w:top w:val="none" w:sz="0" w:space="0" w:color="auto"/>
        <w:left w:val="none" w:sz="0" w:space="0" w:color="auto"/>
        <w:bottom w:val="none" w:sz="0" w:space="0" w:color="auto"/>
        <w:right w:val="none" w:sz="0" w:space="0" w:color="auto"/>
      </w:divBdr>
    </w:div>
    <w:div w:id="1767925492">
      <w:bodyDiv w:val="1"/>
      <w:marLeft w:val="0"/>
      <w:marRight w:val="0"/>
      <w:marTop w:val="0"/>
      <w:marBottom w:val="0"/>
      <w:divBdr>
        <w:top w:val="none" w:sz="0" w:space="0" w:color="auto"/>
        <w:left w:val="none" w:sz="0" w:space="0" w:color="auto"/>
        <w:bottom w:val="none" w:sz="0" w:space="0" w:color="auto"/>
        <w:right w:val="none" w:sz="0" w:space="0" w:color="auto"/>
      </w:divBdr>
    </w:div>
    <w:div w:id="2098091145">
      <w:bodyDiv w:val="1"/>
      <w:marLeft w:val="0"/>
      <w:marRight w:val="0"/>
      <w:marTop w:val="0"/>
      <w:marBottom w:val="0"/>
      <w:divBdr>
        <w:top w:val="none" w:sz="0" w:space="0" w:color="auto"/>
        <w:left w:val="none" w:sz="0" w:space="0" w:color="auto"/>
        <w:bottom w:val="none" w:sz="0" w:space="0" w:color="auto"/>
        <w:right w:val="none" w:sz="0" w:space="0" w:color="auto"/>
      </w:divBdr>
    </w:div>
    <w:div w:id="213833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hart" Target="charts/chart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3" Type="http://schemas.openxmlformats.org/officeDocument/2006/relationships/hyperlink" Target="https://www.paulfletcher.com.au/media-releases/media-release-rise-fund-and-sustainability-fund-guidelines-released" TargetMode="External"/><Relationship Id="rId18" Type="http://schemas.openxmlformats.org/officeDocument/2006/relationships/hyperlink" Target="https://www.abs.gov.au/statistics/economy/business-indicators/business-conditions-and-sentiments/jun-2021" TargetMode="External"/><Relationship Id="rId26" Type="http://schemas.openxmlformats.org/officeDocument/2006/relationships/hyperlink" Target="https://australiainstitute.org.au/report/polling-lockdown-and-the-arts/" TargetMode="External"/><Relationship Id="rId39" Type="http://schemas.openxmlformats.org/officeDocument/2006/relationships/hyperlink" Target="https://australiacouncil.gov.au/advocacy-and-research/audience-outlook-monitor/" TargetMode="External"/><Relationship Id="rId21" Type="http://schemas.openxmlformats.org/officeDocument/2006/relationships/hyperlink" Target="https://www.theguardian.com/culture/2021/dec/21/absolutely-heartbroken-event-cancellations-devastate-australias-music-industry-again" TargetMode="External"/><Relationship Id="rId34" Type="http://schemas.openxmlformats.org/officeDocument/2006/relationships/hyperlink" Target="https://australiacouncil.gov.au/advocacy-and-research/covid-19-audience-outlook-monitor-2020/" TargetMode="External"/><Relationship Id="rId42" Type="http://schemas.openxmlformats.org/officeDocument/2006/relationships/hyperlink" Target="https://australiacouncil.gov.au/advocacy-and-research/electorate-profiles/" TargetMode="External"/><Relationship Id="rId47" Type="http://schemas.openxmlformats.org/officeDocument/2006/relationships/hyperlink" Target="https://www.infrastructure.gov.au/department/media/publications/cultural-and-creative-activity-australia-2008-09-2017-18-visual-summary" TargetMode="External"/><Relationship Id="rId50" Type="http://schemas.openxmlformats.org/officeDocument/2006/relationships/hyperlink" Target="https://www.arts.gov.au/cultural-data-online/government-cultural-funding-and-participation" TargetMode="External"/><Relationship Id="rId55" Type="http://schemas.openxmlformats.org/officeDocument/2006/relationships/hyperlink" Target="https://www.abs.gov.au/statistics/economy/business-indicators/business-conditions-and-sentiments/apr-2020" TargetMode="External"/><Relationship Id="rId63" Type="http://schemas.openxmlformats.org/officeDocument/2006/relationships/hyperlink" Target="https://ciaf.com.au/publications" TargetMode="External"/><Relationship Id="rId68" Type="http://schemas.openxmlformats.org/officeDocument/2006/relationships/hyperlink" Target="https://www.abs.gov.au/statistics/economy/business-indicators/business-conditions-and-sentiments/jan-2022" TargetMode="External"/><Relationship Id="rId76" Type="http://schemas.openxmlformats.org/officeDocument/2006/relationships/hyperlink" Target="https://en.unesco.org/creativity/publications/2022-global-report-reshaping-policies-creativity" TargetMode="External"/><Relationship Id="rId84" Type="http://schemas.openxmlformats.org/officeDocument/2006/relationships/hyperlink" Target="https://ilostmygig.net.au/latest-news/f/wide-scale-job-cancellations-and-nearly-50m-in-lost-income" TargetMode="External"/><Relationship Id="rId89" Type="http://schemas.openxmlformats.org/officeDocument/2006/relationships/hyperlink" Target="https://www.infrastructure.gov.au/media-centre/publications/characteristics-employment-and-business-activity-cultural-and-creative-sectors-fact-sheet" TargetMode="External"/><Relationship Id="rId7" Type="http://schemas.openxmlformats.org/officeDocument/2006/relationships/hyperlink" Target="https://www.abs.gov.au/statistics/economy/business-indicators/business-conditions-and-sentiments/apr-2020" TargetMode="External"/><Relationship Id="rId71" Type="http://schemas.openxmlformats.org/officeDocument/2006/relationships/hyperlink" Target="https://www.smh.com.au/culture/art-and-design/helped-us-enormously-arts-sector-received-100m-from-government-in-april-20200604-p54zlr.html" TargetMode="External"/><Relationship Id="rId92" Type="http://schemas.openxmlformats.org/officeDocument/2006/relationships/hyperlink" Target="https://diversityarts.org.au/tools-resources/read-lost-work-for-creatives-of-colour-and-organisations-2-0/" TargetMode="External"/><Relationship Id="rId2" Type="http://schemas.openxmlformats.org/officeDocument/2006/relationships/hyperlink" Target="https://www.artshub.com.au/news/news/audience-hesitancy-is-omicrons-new-curse-2525315/" TargetMode="External"/><Relationship Id="rId16" Type="http://schemas.openxmlformats.org/officeDocument/2006/relationships/hyperlink" Target="https://www.abs.gov.au/statistics/economy/business-indicators/business-conditions-and-sentiments/dec-2020" TargetMode="External"/><Relationship Id="rId29" Type="http://schemas.openxmlformats.org/officeDocument/2006/relationships/hyperlink" Target="https://australiacouncil.gov.au/advocacy-and-research/covid-19-audience-outlook-monitor-2020/" TargetMode="External"/><Relationship Id="rId11" Type="http://schemas.openxmlformats.org/officeDocument/2006/relationships/hyperlink" Target="https://australiainstitute.org.au/report/polling-lockdown-and-the-arts/" TargetMode="External"/><Relationship Id="rId24" Type="http://schemas.openxmlformats.org/officeDocument/2006/relationships/hyperlink" Target="https://www.australiacouncil.gov.au/workspace/uploads/files/omnibus-survey-results-arts-5eb50b49e163c.pdf" TargetMode="External"/><Relationship Id="rId32" Type="http://schemas.openxmlformats.org/officeDocument/2006/relationships/hyperlink" Target="https://australiacouncil.gov.au/advocacy-and-research/covid-19-audience-outlook-monitor-2020/" TargetMode="External"/><Relationship Id="rId37" Type="http://schemas.openxmlformats.org/officeDocument/2006/relationships/hyperlink" Target="https://australiacouncil.gov.au/advocacy-and-research/audience-outlook-monitor/" TargetMode="External"/><Relationship Id="rId40" Type="http://schemas.openxmlformats.org/officeDocument/2006/relationships/hyperlink" Target="https://www.artshub.com.au/news/news/audience-hesitancy-is-omicrons-new-curse-2525315/" TargetMode="External"/><Relationship Id="rId45" Type="http://schemas.openxmlformats.org/officeDocument/2006/relationships/hyperlink" Target="https://australiacouncil.gov.au/advocacy-and-research/audience-outlook-monitor/" TargetMode="External"/><Relationship Id="rId53" Type="http://schemas.openxmlformats.org/officeDocument/2006/relationships/hyperlink" Target="https://australiacouncil.gov.au/advocacy-and-research/making-art-work/" TargetMode="External"/><Relationship Id="rId58" Type="http://schemas.openxmlformats.org/officeDocument/2006/relationships/hyperlink" Target="https://www.abs.gov.au/statistics/labour/earnings-and-work-hours/weekly-payroll-jobs-and-wages-australia" TargetMode="External"/><Relationship Id="rId66" Type="http://schemas.openxmlformats.org/officeDocument/2006/relationships/hyperlink" Target="https://www.abs.gov.au/statistics/economy/business-indicators/business-conditions-and-sentiments/dec-2020" TargetMode="External"/><Relationship Id="rId74" Type="http://schemas.openxmlformats.org/officeDocument/2006/relationships/hyperlink" Target="https://australiacouncil.gov.au/advocacy-and-research/making-art-work/" TargetMode="External"/><Relationship Id="rId79" Type="http://schemas.openxmlformats.org/officeDocument/2006/relationships/hyperlink" Target="https://visualarts.net.au/news-opinion/2022/omicron-struggle-visual-arts-pulse-survey-data/" TargetMode="External"/><Relationship Id="rId87" Type="http://schemas.openxmlformats.org/officeDocument/2006/relationships/hyperlink" Target="https://australiacouncil.gov.au/about-us/our-covid-19-response/covid-19-research/" TargetMode="External"/><Relationship Id="rId5" Type="http://schemas.openxmlformats.org/officeDocument/2006/relationships/hyperlink" Target="https://www.abs.gov.au/statistics/economy/business-indicators/business-conditions-and-sentiments/mar-2020" TargetMode="External"/><Relationship Id="rId61" Type="http://schemas.openxmlformats.org/officeDocument/2006/relationships/hyperlink" Target="https://desart.com.au/publication/art-centres-and-covid19-impact-statement/" TargetMode="External"/><Relationship Id="rId82" Type="http://schemas.openxmlformats.org/officeDocument/2006/relationships/hyperlink" Target="https://sharpeadvisory.com.au/covid-19-creative-industries-freelancers-non-permanent-residents-and-jobkeeper/" TargetMode="External"/><Relationship Id="rId90" Type="http://schemas.openxmlformats.org/officeDocument/2006/relationships/hyperlink" Target="https://www.artshub.com.au/news/news/support-act-wellbeing-helpline-expands-to-include-all-artists-and-arts-workers-260401-2367372/" TargetMode="External"/><Relationship Id="rId19" Type="http://schemas.openxmlformats.org/officeDocument/2006/relationships/hyperlink" Target="https://australiacouncil.gov.au/advocacy-and-research/audience-outlook-monitor/" TargetMode="External"/><Relationship Id="rId14" Type="http://schemas.openxmlformats.org/officeDocument/2006/relationships/hyperlink" Target="https://www.abs.gov.au/statistics/economy/business-indicators/business-conditions-and-sentiments/sep-2020" TargetMode="External"/><Relationship Id="rId22" Type="http://schemas.openxmlformats.org/officeDocument/2006/relationships/hyperlink" Target="https://www.abs.gov.au/statistics/economy/business-indicators/business-conditions-and-sentiments/jan-2022" TargetMode="External"/><Relationship Id="rId27" Type="http://schemas.openxmlformats.org/officeDocument/2006/relationships/hyperlink" Target="https://australiacouncil.gov.au/wp-content/uploads/2021/07/COVID-19-Audience-Outlook-Monitor-Fact-Sheet-Online-engagement.pdf" TargetMode="External"/><Relationship Id="rId30" Type="http://schemas.openxmlformats.org/officeDocument/2006/relationships/hyperlink" Target="https://australiacouncil.gov.au/advocacy-and-research/covid-19-audience-outlook-monitor-2020/" TargetMode="External"/><Relationship Id="rId35" Type="http://schemas.openxmlformats.org/officeDocument/2006/relationships/hyperlink" Target="https://australiacouncil.gov.au/advocacy-and-research/audience-outlook-monitor/" TargetMode="External"/><Relationship Id="rId43" Type="http://schemas.openxmlformats.org/officeDocument/2006/relationships/hyperlink" Target="https://www.thepatternmakers.com.au/blog/2021/audience-outlook-monitor-march-2022-key-findings" TargetMode="External"/><Relationship Id="rId48" Type="http://schemas.openxmlformats.org/officeDocument/2006/relationships/hyperlink" Target="https://www.australiacouncil.gov.au/research/wp-content/uploads/2020/08/Creating-Our-Future-Spotlight-on-economic-value-and-future-success.pdf" TargetMode="External"/><Relationship Id="rId56" Type="http://schemas.openxmlformats.org/officeDocument/2006/relationships/hyperlink" Target="https://culturecounts.cc/blog/covid-19-impact-on-cultural-industries-april-snapshot" TargetMode="External"/><Relationship Id="rId64" Type="http://schemas.openxmlformats.org/officeDocument/2006/relationships/hyperlink" Target="https://daaf.com.au/digital-daaf-a-roaring-success/" TargetMode="External"/><Relationship Id="rId69" Type="http://schemas.openxmlformats.org/officeDocument/2006/relationships/hyperlink" Target="https://www.abs.gov.au/statistics/economy/business-indicators/business-conditions-and-sentiments/latest-release" TargetMode="External"/><Relationship Id="rId77" Type="http://schemas.openxmlformats.org/officeDocument/2006/relationships/hyperlink" Target="https://en.unesco.org/creativity/publications/2022-global-report-reshaping-policies-creativity" TargetMode="External"/><Relationship Id="rId8" Type="http://schemas.openxmlformats.org/officeDocument/2006/relationships/hyperlink" Target="https://australiacouncil.gov.au/advocacy-and-research/covid-19-audience-outlook-monitor-2020/" TargetMode="External"/><Relationship Id="rId51" Type="http://schemas.openxmlformats.org/officeDocument/2006/relationships/hyperlink" Target="https://www.abs.gov.au/statistics/industry/industry-overview/australian-industry/2017-18" TargetMode="External"/><Relationship Id="rId72" Type="http://schemas.openxmlformats.org/officeDocument/2006/relationships/hyperlink" Target="https://australiainstitute.org.au/report/creativity-in-crisis-rebooting-australias-arts-and-entertainment-sector-after-covid/" TargetMode="External"/><Relationship Id="rId80" Type="http://schemas.openxmlformats.org/officeDocument/2006/relationships/hyperlink" Target="https://australiacouncil.gov.au/advocacy-and-research/making-art-work/" TargetMode="External"/><Relationship Id="rId85" Type="http://schemas.openxmlformats.org/officeDocument/2006/relationships/hyperlink" Target="https://australiacouncil.gov.au/about-us/our-covid-19-response/covid-19-research/" TargetMode="External"/><Relationship Id="rId3" Type="http://schemas.openxmlformats.org/officeDocument/2006/relationships/hyperlink" Target="https://www.thepatternmakers.com.au/blog/2021/audience-outlook-monitor-march-2022-key-findings" TargetMode="External"/><Relationship Id="rId12" Type="http://schemas.openxmlformats.org/officeDocument/2006/relationships/hyperlink" Target="https://australiacouncil.gov.au/advocacy-and-research/covid-19-audience-outlook-monitor-2020/" TargetMode="External"/><Relationship Id="rId17" Type="http://schemas.openxmlformats.org/officeDocument/2006/relationships/hyperlink" Target="https://australiacouncil.gov.au/advocacy-and-research/audience-outlook-monitor/" TargetMode="External"/><Relationship Id="rId25" Type="http://schemas.openxmlformats.org/officeDocument/2006/relationships/hyperlink" Target="https://australiacouncil.gov.au/advocacy-and-research/covid-19-audience-outlook-monitor-2020/" TargetMode="External"/><Relationship Id="rId33" Type="http://schemas.openxmlformats.org/officeDocument/2006/relationships/hyperlink" Target="https://australiacouncil.gov.au/advocacy-and-research/covid-19-audience-outlook-monitor-2020/" TargetMode="External"/><Relationship Id="rId38" Type="http://schemas.openxmlformats.org/officeDocument/2006/relationships/hyperlink" Target="https://australiacouncil.gov.au/advocacy-and-research/audience-outlook-monitor/" TargetMode="External"/><Relationship Id="rId46" Type="http://schemas.openxmlformats.org/officeDocument/2006/relationships/hyperlink" Target="https://www.infrastructure.gov.au/department/media/publications/cultural-and-creative-activity-australia-2008-09-2017-18-visual-summary" TargetMode="External"/><Relationship Id="rId59" Type="http://schemas.openxmlformats.org/officeDocument/2006/relationships/hyperlink" Target="https://australiacouncil.gov.au/about-us/our-covid-19-response/covid-19-research/" TargetMode="External"/><Relationship Id="rId67" Type="http://schemas.openxmlformats.org/officeDocument/2006/relationships/hyperlink" Target="https://ilostmygig.net.au/" TargetMode="External"/><Relationship Id="rId20" Type="http://schemas.openxmlformats.org/officeDocument/2006/relationships/hyperlink" Target="https://australiacouncil.gov.au/advocacy-and-research/audience-outlook-monitor/" TargetMode="External"/><Relationship Id="rId41" Type="http://schemas.openxmlformats.org/officeDocument/2006/relationships/hyperlink" Target="https://www.theguardian.com/culture/2021/dec/21/absolutely-heartbroken-event-cancellations-devastate-australias-music-industry-again" TargetMode="External"/><Relationship Id="rId54" Type="http://schemas.openxmlformats.org/officeDocument/2006/relationships/hyperlink" Target="https://www.infrastructure.gov.au/media-centre/publications/characteristics-employment-and-business-activity-cultural-and-creative-sectors-fact-sheet" TargetMode="External"/><Relationship Id="rId62" Type="http://schemas.openxmlformats.org/officeDocument/2006/relationships/hyperlink" Target="https://desart.com.au/publication/art-centres-and-covid-19-an-update-on-the-pandemics-ongoing-impact-july-to-december-2020/" TargetMode="External"/><Relationship Id="rId70" Type="http://schemas.openxmlformats.org/officeDocument/2006/relationships/hyperlink" Target="https://australiacouncil.gov.au/investment-and-development/sector-recovery-initiatives/2020-resilience-fund/" TargetMode="External"/><Relationship Id="rId75" Type="http://schemas.openxmlformats.org/officeDocument/2006/relationships/hyperlink" Target="https://www.abs.gov.au/articles/insights-industry-and-occupation" TargetMode="External"/><Relationship Id="rId83" Type="http://schemas.openxmlformats.org/officeDocument/2006/relationships/hyperlink" Target="https://australiacouncil.gov.au/advocacy-and-research/making-music-work/" TargetMode="External"/><Relationship Id="rId88" Type="http://schemas.openxmlformats.org/officeDocument/2006/relationships/hyperlink" Target="https://www.smh.com.au/culture/art-and-design/helped-us-enormously-arts-sector-received-100m-from-government-in-april-20200604-p54zlr.html" TargetMode="External"/><Relationship Id="rId91" Type="http://schemas.openxmlformats.org/officeDocument/2006/relationships/hyperlink" Target="https://yirrayaakin.com.au/wp-content/uploads/First-Nations-COVID-19-Performing-Arts-Impact-Survey-Summary-Report_Feb21.pdf" TargetMode="External"/><Relationship Id="rId1" Type="http://schemas.openxmlformats.org/officeDocument/2006/relationships/hyperlink" Target="https://www.infrastructure.gov.au/media-centre/publications/characteristics-employment-and-business-activity-cultural-and-creative-sectors-fact-sheet" TargetMode="External"/><Relationship Id="rId6" Type="http://schemas.openxmlformats.org/officeDocument/2006/relationships/hyperlink" Target="https://australiacouncil.gov.au/about-us/our-covid-19-response/covid-19-research/" TargetMode="External"/><Relationship Id="rId15" Type="http://schemas.openxmlformats.org/officeDocument/2006/relationships/hyperlink" Target="https://australiacouncil.gov.au/advocacy-and-research/covid-19-audience-outlook-monitor-2020/" TargetMode="External"/><Relationship Id="rId23" Type="http://schemas.openxmlformats.org/officeDocument/2006/relationships/hyperlink" Target="https://www.thepatternmakers.com.au/blog/2021/audience-outlook-monitor-march-2022-key-findings" TargetMode="External"/><Relationship Id="rId28" Type="http://schemas.openxmlformats.org/officeDocument/2006/relationships/hyperlink" Target="https://www.australiacouncil.gov.au/workspace/uploads/files/omnibus-survey-results-arts-5eb50b49e163c.pdf" TargetMode="External"/><Relationship Id="rId36" Type="http://schemas.openxmlformats.org/officeDocument/2006/relationships/hyperlink" Target="https://static1.squarespace.com/static/57bfb8d99de4bb78a0b8c345/t/6153cdfa4c010f573d9c1bca/1632882180989/AOM_July2021_Fact+Sheet_Reaching_Audiences_at_Home.pdf" TargetMode="External"/><Relationship Id="rId49" Type="http://schemas.openxmlformats.org/officeDocument/2006/relationships/hyperlink" Target="https://www.australiacouncil.gov.au/research/international-arts-tourism-connecting-cultures/" TargetMode="External"/><Relationship Id="rId57" Type="http://schemas.openxmlformats.org/officeDocument/2006/relationships/hyperlink" Target="https://www.abs.gov.au/statistics/economy/business-indicators/business-conditions-and-sentiments/apr-2020" TargetMode="External"/><Relationship Id="rId10" Type="http://schemas.openxmlformats.org/officeDocument/2006/relationships/hyperlink" Target="https://www.australiacouncil.gov.au/workspace/uploads/files/omnibus-survey-results-arts-5eb50b49e163c.pdf" TargetMode="External"/><Relationship Id="rId31" Type="http://schemas.openxmlformats.org/officeDocument/2006/relationships/hyperlink" Target="https://australiacouncil.gov.au/advocacy-and-research/covid-19-audience-outlook-monitor-2020/" TargetMode="External"/><Relationship Id="rId44" Type="http://schemas.openxmlformats.org/officeDocument/2006/relationships/hyperlink" Target="https://www.thepatternmakers.com.au/blog/2021/audience-outlook-monitor-march-2022-key-findings" TargetMode="External"/><Relationship Id="rId52" Type="http://schemas.openxmlformats.org/officeDocument/2006/relationships/hyperlink" Target="https://www.arts.gov.au/cultural-data-online/government-cultural-funding-and-participation" TargetMode="External"/><Relationship Id="rId60" Type="http://schemas.openxmlformats.org/officeDocument/2006/relationships/hyperlink" Target="http://www.ilostmygig.net.au/" TargetMode="External"/><Relationship Id="rId65" Type="http://schemas.openxmlformats.org/officeDocument/2006/relationships/hyperlink" Target="https://australiacouncil.gov.au/advocacy-and-research/in-real-life/" TargetMode="External"/><Relationship Id="rId73" Type="http://schemas.openxmlformats.org/officeDocument/2006/relationships/hyperlink" Target="https://australiacouncil.gov.au/wp-content/uploads/2021/08/Guide-to-Government-COVID-19-Assistance-for-the-Arts-2021.pdf" TargetMode="External"/><Relationship Id="rId78" Type="http://schemas.openxmlformats.org/officeDocument/2006/relationships/hyperlink" Target="https://www.artshub.com.au/news/news/audience-hesitancy-is-omicrons-new-curse-2525315/" TargetMode="External"/><Relationship Id="rId81" Type="http://schemas.openxmlformats.org/officeDocument/2006/relationships/hyperlink" Target="https://australiacouncil.gov.au/advocacy-and-research/making-art-work/" TargetMode="External"/><Relationship Id="rId86" Type="http://schemas.openxmlformats.org/officeDocument/2006/relationships/hyperlink" Target="https://australiacouncil.gov.au/investment-and-development/sector-recovery-initiatives/2020-resilience-fund/" TargetMode="External"/><Relationship Id="rId4" Type="http://schemas.openxmlformats.org/officeDocument/2006/relationships/hyperlink" Target="https://www.theage.com.au/culture/music/you-saved-our-lives-digital-concert-hall-celebrates-its-extraordinary-year-20210329-p57ex6.html" TargetMode="External"/><Relationship Id="rId9" Type="http://schemas.openxmlformats.org/officeDocument/2006/relationships/hyperlink" Target="https://desart.com.au/publication/art-centres-and-covid19-impact-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Willox\OneDrive%20-%20Australia%20Council%20for%20the%20Arts\Desktop\2022Impacts%20of%20COVID-19%20on%20the%20cultural%20and%20creative%20industries.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8487306477994607"/>
          <c:y val="4.2478788988585731E-2"/>
          <c:w val="0.48966396591730382"/>
          <c:h val="0.92080784960019535"/>
        </c:manualLayout>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Fees for an event related to my creative work (talk, seminar, presentation, performance) </c:v>
                </c:pt>
                <c:pt idx="1">
                  <c:v>Non-creative income (e.g., from teaching, hospitality) </c:v>
                </c:pt>
                <c:pt idx="2">
                  <c:v>Earnings from ticket sales </c:v>
                </c:pt>
                <c:pt idx="3">
                  <c:v>Fees for touring my creative work </c:v>
                </c:pt>
                <c:pt idx="4">
                  <c:v>Creative development or residency opportunities (including fees) </c:v>
                </c:pt>
                <c:pt idx="5">
                  <c:v>Sales of my creative work </c:v>
                </c:pt>
                <c:pt idx="6">
                  <c:v>Fees for rehearsals of my creative work </c:v>
                </c:pt>
                <c:pt idx="7">
                  <c:v>Grants/prizes/fellowships/sponsorships </c:v>
                </c:pt>
                <c:pt idx="8">
                  <c:v>Royalties and advances </c:v>
                </c:pt>
                <c:pt idx="9">
                  <c:v>Other (please tell us) </c:v>
                </c:pt>
              </c:strCache>
            </c:strRef>
          </c:cat>
          <c:val>
            <c:numRef>
              <c:f>Sheet1!$B$2:$B$11</c:f>
              <c:numCache>
                <c:formatCode>0%</c:formatCode>
                <c:ptCount val="10"/>
                <c:pt idx="0">
                  <c:v>0.64</c:v>
                </c:pt>
                <c:pt idx="1">
                  <c:v>0.55000000000000004</c:v>
                </c:pt>
                <c:pt idx="2">
                  <c:v>0.53</c:v>
                </c:pt>
                <c:pt idx="3">
                  <c:v>0.44</c:v>
                </c:pt>
                <c:pt idx="4">
                  <c:v>0.43</c:v>
                </c:pt>
                <c:pt idx="5">
                  <c:v>0.4</c:v>
                </c:pt>
                <c:pt idx="6">
                  <c:v>0.35</c:v>
                </c:pt>
                <c:pt idx="7">
                  <c:v>0.19</c:v>
                </c:pt>
                <c:pt idx="8">
                  <c:v>0.19</c:v>
                </c:pt>
                <c:pt idx="9">
                  <c:v>0.09</c:v>
                </c:pt>
              </c:numCache>
            </c:numRef>
          </c:val>
          <c:extLst>
            <c:ext xmlns:c16="http://schemas.microsoft.com/office/drawing/2014/chart" uri="{C3380CC4-5D6E-409C-BE32-E72D297353CC}">
              <c16:uniqueId val="{00000000-140D-469C-B4A1-33AFC7791647}"/>
            </c:ext>
          </c:extLst>
        </c:ser>
        <c:dLbls>
          <c:showLegendKey val="0"/>
          <c:showVal val="0"/>
          <c:showCatName val="0"/>
          <c:showSerName val="0"/>
          <c:showPercent val="0"/>
          <c:showBubbleSize val="0"/>
        </c:dLbls>
        <c:gapWidth val="50"/>
        <c:axId val="615316096"/>
        <c:axId val="775722568"/>
      </c:barChart>
      <c:catAx>
        <c:axId val="61531609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5722568"/>
        <c:crosses val="autoZero"/>
        <c:auto val="1"/>
        <c:lblAlgn val="ctr"/>
        <c:lblOffset val="100"/>
        <c:noMultiLvlLbl val="0"/>
      </c:catAx>
      <c:valAx>
        <c:axId val="775722568"/>
        <c:scaling>
          <c:orientation val="minMax"/>
        </c:scaling>
        <c:delete val="1"/>
        <c:axPos val="t"/>
        <c:numFmt formatCode="0%" sourceLinked="1"/>
        <c:majorTickMark val="none"/>
        <c:minorTickMark val="none"/>
        <c:tickLblPos val="nextTo"/>
        <c:crossAx val="6153160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ACA">
      <a:dk1>
        <a:sysClr val="windowText" lastClr="000000"/>
      </a:dk1>
      <a:lt1>
        <a:srgbClr val="FFFFFF"/>
      </a:lt1>
      <a:dk2>
        <a:srgbClr val="59595B"/>
      </a:dk2>
      <a:lt2>
        <a:srgbClr val="E6E6E6"/>
      </a:lt2>
      <a:accent1>
        <a:srgbClr val="E6172F"/>
      </a:accent1>
      <a:accent2>
        <a:srgbClr val="59595B"/>
      </a:accent2>
      <a:accent3>
        <a:srgbClr val="660066"/>
      </a:accent3>
      <a:accent4>
        <a:srgbClr val="003366"/>
      </a:accent4>
      <a:accent5>
        <a:srgbClr val="006666"/>
      </a:accent5>
      <a:accent6>
        <a:srgbClr val="B88A00"/>
      </a:accent6>
      <a:hlink>
        <a:srgbClr val="002060"/>
      </a:hlink>
      <a:folHlink>
        <a:srgbClr val="781D7E"/>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Australia Council for the Arts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AC Marketing" ma:contentTypeID="0x010100E387570059B2A749AFEB864DE0479DFC030038DF7BF1FA0A7C49AA834E3E7523FDD7" ma:contentTypeVersion="2743" ma:contentTypeDescription="" ma:contentTypeScope="" ma:versionID="44f93d9e4f55e19a28581ab93bc9cc6b">
  <xsd:schema xmlns:xsd="http://www.w3.org/2001/XMLSchema" xmlns:xs="http://www.w3.org/2001/XMLSchema" xmlns:p="http://schemas.microsoft.com/office/2006/metadata/properties" xmlns:ns2="540dc7de-372d-481f-ad26-43c15b62b4cb" targetNamespace="http://schemas.microsoft.com/office/2006/metadata/properties" ma:root="true" ma:fieldsID="4f2289059304dc7fb072a5145614313f" ns2:_="">
    <xsd:import namespace="540dc7de-372d-481f-ad26-43c15b62b4cb"/>
    <xsd:element name="properties">
      <xsd:complexType>
        <xsd:sequence>
          <xsd:element name="documentManagement">
            <xsd:complexType>
              <xsd:all>
                <xsd:element ref="ns2:TaxCatchAll" minOccurs="0"/>
                <xsd:element ref="ns2:TaxCatchAllLabel" minOccurs="0"/>
                <xsd:element ref="ns2:n2836933787a47b8b70e28960c3403f2" minOccurs="0"/>
                <xsd:element ref="ns2:facdae73cba2495d94230e7af94e68b0" minOccurs="0"/>
                <xsd:element ref="ns2:SecClass" minOccurs="0"/>
                <xsd:element ref="ns2:SecCaveat" minOccurs="0"/>
                <xsd:element ref="ns2:FinYear" minOccurs="0"/>
                <xsd:element ref="ns2:Year" minOccurs="0"/>
                <xsd:element ref="ns2:Source" minOccurs="0"/>
                <xsd:element ref="ns2:CreateName" minOccurs="0"/>
                <xsd:element ref="ns2:CreateDate" minOccurs="0"/>
                <xsd:element ref="ns2:LastModDate" minOccurs="0"/>
                <xsd:element ref="ns2:Symbolcode" minOccurs="0"/>
                <xsd:element ref="ns2:Deletedate" minOccurs="0"/>
                <xsd:element ref="ns2:Transferdate" minOccurs="0"/>
                <xsd:element ref="ns2:RetentionAction" minOccurs="0"/>
                <xsd:element ref="ns2:RetentionStatus" minOccurs="0"/>
                <xsd:element ref="ns2:Lastrevdate" minOccurs="0"/>
                <xsd:element ref="ns2:Nextrevdate" minOccurs="0"/>
                <xsd:element ref="ns2:VitalRecord" minOccurs="0"/>
                <xsd:element ref="ns2:EmAttachCount" minOccurs="0"/>
                <xsd:element ref="ns2:EmAttachmentNames" minOccurs="0"/>
                <xsd:element ref="ns2:EmBCC" minOccurs="0"/>
                <xsd:element ref="ns2:EmBody" minOccurs="0"/>
                <xsd:element ref="ns2:EmCategory" minOccurs="0"/>
                <xsd:element ref="ns2:EmCC" minOccurs="0"/>
                <xsd:element ref="ns2:EmCon" minOccurs="0"/>
                <xsd:element ref="ns2:EmConversationID" minOccurs="0"/>
                <xsd:element ref="ns2:EmConversationIndex" minOccurs="0"/>
                <xsd:element ref="ns2:EmDate" minOccurs="0"/>
                <xsd:element ref="ns2:EmDateReceived" minOccurs="0"/>
                <xsd:element ref="ns2:EmDateSent" minOccurs="0"/>
                <xsd:element ref="ns2:EmFrom" minOccurs="0"/>
                <xsd:element ref="ns2:EmFromName" minOccurs="0"/>
                <xsd:element ref="ns2:EmID" minOccurs="0"/>
                <xsd:element ref="ns2:EmImportance" minOccurs="0"/>
                <xsd:element ref="ns2:EmSubject" minOccurs="0"/>
                <xsd:element ref="ns2:EmSensitivity" minOccurs="0"/>
                <xsd:element ref="ns2:EmTo" minOccurs="0"/>
                <xsd:element ref="ns2:EmToAddress" minOccurs="0"/>
                <xsd:element ref="ns2:EmType" minOccurs="0"/>
                <xsd:element ref="ns2:ScanUser" minOccurs="0"/>
                <xsd:element ref="ns2:ScannedName" minOccurs="0"/>
                <xsd:element ref="ns2:ScannedDate" minOccurs="0"/>
                <xsd:element ref="ns2:_dlc_DocId" minOccurs="0"/>
                <xsd:element ref="ns2:_dlc_DocIdUrl" minOccurs="0"/>
                <xsd:element ref="ns2:_dlc_DocIdPersistId" minOccurs="0"/>
                <xsd:element ref="ns2:e4333ceccd3549b09b2ba984de9ce1ed" minOccurs="0"/>
                <xsd:element ref="ns2:e13f7c6e125846ca9e5165876eaa1b30" minOccurs="0"/>
                <xsd:element ref="ns2:LastModName" minOccurs="0"/>
                <xsd:element ref="ns2:eae731ec622d40fa98d8668e6740f701" minOccurs="0"/>
                <xsd:element ref="ns2:Document_x0020_Control_x0020_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dc7de-372d-481f-ad26-43c15b62b4c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78c7df1-0d0a-42c7-b7f1-54156b703d82}" ma:internalName="TaxCatchAll" ma:showField="CatchAllData" ma:web="1dd99aa1-0a86-4083-b23b-1ab8e31a908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78c7df1-0d0a-42c7-b7f1-54156b703d82}" ma:internalName="TaxCatchAllLabel" ma:readOnly="true" ma:showField="CatchAllDataLabel" ma:web="1dd99aa1-0a86-4083-b23b-1ab8e31a9082">
      <xsd:complexType>
        <xsd:complexContent>
          <xsd:extension base="dms:MultiChoiceLookup">
            <xsd:sequence>
              <xsd:element name="Value" type="dms:Lookup" maxOccurs="unbounded" minOccurs="0" nillable="true"/>
            </xsd:sequence>
          </xsd:extension>
        </xsd:complexContent>
      </xsd:complexType>
    </xsd:element>
    <xsd:element name="n2836933787a47b8b70e28960c3403f2" ma:index="10" nillable="true" ma:taxonomy="true" ma:internalName="n2836933787a47b8b70e28960c3403f2" ma:taxonomyFieldName="DocType" ma:displayName="Document Type" ma:fieldId="{72836933-787a-47b8-b70e-28960c3403f2}" ma:sspId="147c72d7-14fc-40b8-9757-68ac2fd8ae9a" ma:termSetId="863fd04b-5818-43f6-b735-70ad377ceda7" ma:anchorId="00000000-0000-0000-0000-000000000000" ma:open="false" ma:isKeyword="false">
      <xsd:complexType>
        <xsd:sequence>
          <xsd:element ref="pc:Terms" minOccurs="0" maxOccurs="1"/>
        </xsd:sequence>
      </xsd:complexType>
    </xsd:element>
    <xsd:element name="facdae73cba2495d94230e7af94e68b0" ma:index="12" nillable="true" ma:taxonomy="true" ma:internalName="facdae73cba2495d94230e7af94e68b0" ma:taxonomyFieldName="Topic" ma:displayName="Topic" ma:default="" ma:fieldId="{facdae73-cba2-495d-9423-0e7af94e68b0}" ma:taxonomyMulti="true" ma:sspId="147c72d7-14fc-40b8-9757-68ac2fd8ae9a" ma:termSetId="ed937544-d35b-459c-b255-f96fa78fd311" ma:anchorId="00000000-0000-0000-0000-000000000000" ma:open="false" ma:isKeyword="false">
      <xsd:complexType>
        <xsd:sequence>
          <xsd:element ref="pc:Terms" minOccurs="0" maxOccurs="1"/>
        </xsd:sequence>
      </xsd:complexType>
    </xsd:element>
    <xsd:element name="SecClass" ma:index="14" nillable="true" ma:displayName="Security Classification" ma:default="Official" ma:description="Security Classification" ma:format="Dropdown" ma:internalName="SecClass">
      <xsd:simpleType>
        <xsd:restriction base="dms:Choice">
          <xsd:enumeration value="Official"/>
          <xsd:enumeration value="Official Sensitive"/>
          <xsd:enumeration value="Protected"/>
          <xsd:enumeration value="Unofficial"/>
          <xsd:enumeration value="Unclassified"/>
        </xsd:restriction>
      </xsd:simpleType>
    </xsd:element>
    <xsd:element name="SecCaveat" ma:index="15" nillable="true" ma:displayName="Security Caveat" ma:description="Caveat" ma:internalName="SecCaveat">
      <xsd:complexType>
        <xsd:complexContent>
          <xsd:extension base="dms:MultiChoice">
            <xsd:sequence>
              <xsd:element name="Value" maxOccurs="unbounded" minOccurs="0" nillable="true">
                <xsd:simpleType>
                  <xsd:restriction base="dms:Choice">
                    <xsd:enumeration value="Not for public release"/>
                  </xsd:restriction>
                </xsd:simpleType>
              </xsd:element>
            </xsd:sequence>
          </xsd:extension>
        </xsd:complexContent>
      </xsd:complexType>
    </xsd:element>
    <xsd:element name="FinYear" ma:index="16" nillable="true" ma:displayName="Financial Year" ma:default="2022-23" ma:description="System defaulted to allow grouping of information by budget period." ma:format="Dropdown" ma:internalName="FinYear">
      <xsd:simpleType>
        <xsd:restriction base="dms:Choice">
          <xsd:enumeration value="2017-18"/>
          <xsd:enumeration value="2018-19"/>
          <xsd:enumeration value="2019-20"/>
          <xsd:enumeration value="2020-21"/>
          <xsd:enumeration value="2010-11"/>
          <xsd:enumeration value="2011-12. 2012-13"/>
          <xsd:enumeration value="2013-14"/>
          <xsd:enumeration value="2014-15"/>
          <xsd:enumeration value="2015-16"/>
          <xsd:enumeration value="2016-17"/>
          <xsd:enumeration value="2021-22"/>
          <xsd:enumeration value="2022-23"/>
        </xsd:restriction>
      </xsd:simpleType>
    </xsd:element>
    <xsd:element name="Year" ma:index="17" nillable="true" ma:displayName="Year" ma:default="2022" ma:description="System defaulted to allow grouping of information by year. Also used for archiving" ma:format="Dropdown" ma:internalName="Year">
      <xsd:simpleType>
        <xsd:union memberTypes="dms:Text">
          <xsd:simpleType>
            <xsd:restriction base="dms:Choice">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9"/>
              <xsd:enumeration value="1988"/>
              <xsd:enumeration value="1987"/>
              <xsd:enumeration value="1986"/>
              <xsd:enumeration value="1985"/>
              <xsd:enumeration value="1984"/>
              <xsd:enumeration value="1983"/>
              <xsd:enumeration value="1982"/>
              <xsd:enumeration value="1981"/>
              <xsd:enumeration value="1980"/>
            </xsd:restriction>
          </xsd:simpleType>
        </xsd:union>
      </xsd:simpleType>
    </xsd:element>
    <xsd:element name="Source" ma:index="18" nillable="true" ma:displayName="Source" ma:description="Reference to source system of information item. Default will map to MIE SharePoint. Other sources may be INPACT, CBMS etc." ma:format="Dropdown" ma:internalName="Source">
      <xsd:simpleType>
        <xsd:restriction base="dms:Choice">
          <xsd:enumeration value="Share Drive"/>
          <xsd:enumeration value="SP 2013"/>
          <xsd:enumeration value="RM 8"/>
          <xsd:enumeration value="GMS"/>
        </xsd:restriction>
      </xsd:simpleType>
    </xsd:element>
    <xsd:element name="CreateName" ma:index="19" nillable="true" ma:displayName="Created by Name" ma:description="Name of user who created document" ma:internalName="CreateName">
      <xsd:simpleType>
        <xsd:restriction base="dms:Text"/>
      </xsd:simpleType>
    </xsd:element>
    <xsd:element name="CreateDate" ma:index="20" nillable="true" ma:displayName="Created Date" ma:description="Date/time when document was created" ma:format="DateTime" ma:internalName="CreateDate">
      <xsd:simpleType>
        <xsd:restriction base="dms:DateTime"/>
      </xsd:simpleType>
    </xsd:element>
    <xsd:element name="LastModDate" ma:index="21" nillable="true" ma:displayName="Modified Date" ma:description="Date/time when document was last time modified by a user (as opposed to system updtates)" ma:format="DateTime" ma:internalName="LastModDate">
      <xsd:simpleType>
        <xsd:restriction base="dms:DateTime"/>
      </xsd:simpleType>
    </xsd:element>
    <xsd:element name="Symbolcode" ma:index="22" nillable="true" ma:displayName="Symbol Code" ma:description="Generated text combination of Location+Title+Date" ma:internalName="Symbolcode">
      <xsd:simpleType>
        <xsd:restriction base="dms:Text"/>
      </xsd:simpleType>
    </xsd:element>
    <xsd:element name="Deletedate" ma:index="23" nillable="true" ma:displayName="Records delete date" ma:description="Records date document deleted" ma:internalName="Deletedate">
      <xsd:simpleType>
        <xsd:restriction base="dms:DateTime"/>
      </xsd:simpleType>
    </xsd:element>
    <xsd:element name="Transferdate" ma:index="24" nillable="true" ma:displayName="Records transfer date" ma:description="Records date document transferred or exported as part of MoG change" ma:internalName="Transferdate">
      <xsd:simpleType>
        <xsd:restriction base="dms:DateTime"/>
      </xsd:simpleType>
    </xsd:element>
    <xsd:element name="RetentionAction" ma:index="25" nillable="true" ma:displayName="Retention Action" ma:description="Retention Action" ma:internalName="RetentionAction">
      <xsd:simpleType>
        <xsd:restriction base="dms:Text">
          <xsd:maxLength value="255"/>
        </xsd:restriction>
      </xsd:simpleType>
    </xsd:element>
    <xsd:element name="RetentionStatus" ma:index="26" nillable="true" ma:displayName="Retention Status" ma:description="Retention Status" ma:format="Dropdown" ma:internalName="RetentionStatus">
      <xsd:simpleType>
        <xsd:union memberTypes="dms:Text">
          <xsd:simpleType>
            <xsd:restriction base="dms:Choice">
              <xsd:enumeration value="Destroyed"/>
            </xsd:restriction>
          </xsd:simpleType>
        </xsd:union>
      </xsd:simpleType>
    </xsd:element>
    <xsd:element name="Lastrevdate" ma:index="27" nillable="true" ma:displayName="Last Review Date" ma:description="Last Review Date" ma:internalName="Lastrevdate">
      <xsd:simpleType>
        <xsd:restriction base="dms:DateTime"/>
      </xsd:simpleType>
    </xsd:element>
    <xsd:element name="Nextrevdate" ma:index="28" nillable="true" ma:displayName="Next Review Date" ma:description="Next Review Date" ma:internalName="Nextrevdate">
      <xsd:simpleType>
        <xsd:restriction base="dms:DateTime"/>
      </xsd:simpleType>
    </xsd:element>
    <xsd:element name="VitalRecord" ma:index="29" nillable="true" ma:displayName="Vital Record" ma:default="0" ma:description="" ma:internalName="VitalRecord">
      <xsd:simpleType>
        <xsd:restriction base="dms:Boolean"/>
      </xsd:simpleType>
    </xsd:element>
    <xsd:element name="EmAttachCount" ma:index="30" nillable="true" ma:displayName="Email attachment count" ma:description="" ma:internalName="EmAttachCount">
      <xsd:simpleType>
        <xsd:restriction base="dms:Number"/>
      </xsd:simpleType>
    </xsd:element>
    <xsd:element name="EmAttachmentNames" ma:index="31" nillable="true" ma:displayName="Email attachment names" ma:internalName="EmAttachmentNames">
      <xsd:simpleType>
        <xsd:restriction base="dms:Note"/>
      </xsd:simpleType>
    </xsd:element>
    <xsd:element name="EmBCC" ma:index="32" nillable="true" ma:displayName="Email BCC" ma:internalName="EmBCC">
      <xsd:simpleType>
        <xsd:restriction base="dms:Note">
          <xsd:maxLength value="255"/>
        </xsd:restriction>
      </xsd:simpleType>
    </xsd:element>
    <xsd:element name="EmBody" ma:index="33" nillable="true" ma:displayName="Email Body" ma:internalName="EmBody" ma:readOnly="false">
      <xsd:simpleType>
        <xsd:restriction base="dms:Note">
          <xsd:maxLength value="255"/>
        </xsd:restriction>
      </xsd:simpleType>
    </xsd:element>
    <xsd:element name="EmCategory" ma:index="34" nillable="true" ma:displayName="Email Category" ma:internalName="EmCategory">
      <xsd:simpleType>
        <xsd:restriction base="dms:Note">
          <xsd:maxLength value="255"/>
        </xsd:restriction>
      </xsd:simpleType>
    </xsd:element>
    <xsd:element name="EmCC" ma:index="35" nillable="true" ma:displayName="Email CC" ma:internalName="EmCC">
      <xsd:simpleType>
        <xsd:restriction base="dms:Note"/>
      </xsd:simpleType>
    </xsd:element>
    <xsd:element name="EmCon" ma:index="36" nillable="true" ma:displayName="Email Conversation" ma:description="This metadata is saved to enable an Outlook like email thread view" ma:internalName="EmCon">
      <xsd:simpleType>
        <xsd:restriction base="dms:Note">
          <xsd:maxLength value="255"/>
        </xsd:restriction>
      </xsd:simpleType>
    </xsd:element>
    <xsd:element name="EmConversationID" ma:index="37" nillable="true" ma:displayName="Email Conversation ID" ma:description="This metadata is saved to enable an Outlook like email thread view" ma:internalName="EmConversationID">
      <xsd:simpleType>
        <xsd:restriction base="dms:Note">
          <xsd:maxLength value="255"/>
        </xsd:restriction>
      </xsd:simpleType>
    </xsd:element>
    <xsd:element name="EmConversationIndex" ma:index="38" nillable="true" ma:displayName="Email Conversation Index" ma:description="This metadata is saved to enable an Outlook like email thread view" ma:internalName="EmConversationIndex">
      <xsd:simpleType>
        <xsd:restriction base="dms:Note">
          <xsd:maxLength value="255"/>
        </xsd:restriction>
      </xsd:simpleType>
    </xsd:element>
    <xsd:element name="EmDate" ma:index="39" nillable="true" ma:displayName="Email Date" ma:description="" ma:internalName="EmDate">
      <xsd:simpleType>
        <xsd:restriction base="dms:DateTime"/>
      </xsd:simpleType>
    </xsd:element>
    <xsd:element name="EmDateReceived" ma:index="40" nillable="true" ma:displayName="Email Date Received" ma:description="" ma:internalName="EmDateReceived">
      <xsd:simpleType>
        <xsd:restriction base="dms:DateTime"/>
      </xsd:simpleType>
    </xsd:element>
    <xsd:element name="EmDateSent" ma:index="41" nillable="true" ma:displayName="Email Date Sent" ma:description="" ma:internalName="EmDateSent">
      <xsd:simpleType>
        <xsd:restriction base="dms:DateTime"/>
      </xsd:simpleType>
    </xsd:element>
    <xsd:element name="EmFrom" ma:index="42" nillable="true" ma:displayName="Email From" ma:internalName="EmFrom">
      <xsd:simpleType>
        <xsd:restriction base="dms:Note">
          <xsd:maxLength value="255"/>
        </xsd:restriction>
      </xsd:simpleType>
    </xsd:element>
    <xsd:element name="EmFromName" ma:index="43" nillable="true" ma:displayName="Email From Name" ma:internalName="EmFromName">
      <xsd:simpleType>
        <xsd:restriction base="dms:Note">
          <xsd:maxLength value="255"/>
        </xsd:restriction>
      </xsd:simpleType>
    </xsd:element>
    <xsd:element name="EmID" ma:index="44" nillable="true" ma:displayName="Email ID" ma:internalName="EmID" ma:readOnly="false">
      <xsd:simpleType>
        <xsd:restriction base="dms:Note">
          <xsd:maxLength value="255"/>
        </xsd:restriction>
      </xsd:simpleType>
    </xsd:element>
    <xsd:element name="EmImportance" ma:index="45" nillable="true" ma:displayName="Email Importance" ma:internalName="EmImportance" ma:readOnly="false">
      <xsd:simpleType>
        <xsd:restriction base="dms:Note">
          <xsd:maxLength value="255"/>
        </xsd:restriction>
      </xsd:simpleType>
    </xsd:element>
    <xsd:element name="EmSubject" ma:index="46" nillable="true" ma:displayName="Email Subject" ma:description="Separate to Title. System generated Title and File Name rules to be determined" ma:internalName="EmSubject">
      <xsd:simpleType>
        <xsd:restriction base="dms:Note">
          <xsd:maxLength value="255"/>
        </xsd:restriction>
      </xsd:simpleType>
    </xsd:element>
    <xsd:element name="EmSensitivity" ma:index="47" nillable="true" ma:displayName="Email Sensitivity" ma:internalName="EmSensitivity" ma:readOnly="false">
      <xsd:simpleType>
        <xsd:restriction base="dms:Note">
          <xsd:maxLength value="255"/>
        </xsd:restriction>
      </xsd:simpleType>
    </xsd:element>
    <xsd:element name="EmTo" ma:index="48" nillable="true" ma:displayName="Email To" ma:internalName="EmTo">
      <xsd:simpleType>
        <xsd:restriction base="dms:Note">
          <xsd:maxLength value="255"/>
        </xsd:restriction>
      </xsd:simpleType>
    </xsd:element>
    <xsd:element name="EmToAddress" ma:index="49" nillable="true" ma:displayName="Email To Address" ma:description="Text of address names" ma:internalName="EmToAddress">
      <xsd:simpleType>
        <xsd:restriction base="dms:Note">
          <xsd:maxLength value="255"/>
        </xsd:restriction>
      </xsd:simpleType>
    </xsd:element>
    <xsd:element name="EmType" ma:index="50" nillable="true" ma:displayName="Email Type" ma:internalName="EmType" ma:readOnly="false">
      <xsd:simpleType>
        <xsd:restriction base="dms:Note">
          <xsd:maxLength value="255"/>
        </xsd:restriction>
      </xsd:simpleType>
    </xsd:element>
    <xsd:element name="ScanUser" ma:index="51" nillable="true" ma:displayName="Scanned by User ID" ma:description="" ma:internalName="ScanUs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annedName" ma:index="52" nillable="true" ma:displayName="Scanned by Name" ma:description="" ma:internalName="ScannedName">
      <xsd:simpleType>
        <xsd:restriction base="dms:Text"/>
      </xsd:simpleType>
    </xsd:element>
    <xsd:element name="ScannedDate" ma:index="53" nillable="true" ma:displayName="Scanned Date" ma:description="" ma:internalName="ScannedDate">
      <xsd:simpleType>
        <xsd:restriction base="dms:DateTime"/>
      </xsd:simpleType>
    </xsd:element>
    <xsd:element name="_dlc_DocId" ma:index="54" nillable="true" ma:displayName="Document ID Value" ma:description="The value of the document ID assigned to this item." ma:indexed="true" ma:internalName="_dlc_DocId" ma:readOnly="true">
      <xsd:simpleType>
        <xsd:restriction base="dms:Text"/>
      </xsd:simpleType>
    </xsd:element>
    <xsd:element name="_dlc_DocIdUrl" ma:index="5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6" nillable="true" ma:displayName="Persist ID" ma:description="Keep ID on add." ma:hidden="true" ma:internalName="_dlc_DocIdPersistId" ma:readOnly="true">
      <xsd:simpleType>
        <xsd:restriction base="dms:Boolean"/>
      </xsd:simpleType>
    </xsd:element>
    <xsd:element name="e4333ceccd3549b09b2ba984de9ce1ed" ma:index="57" nillable="true" ma:taxonomy="true" ma:internalName="e4333ceccd3549b09b2ba984de9ce1ed" ma:taxonomyFieldName="BusUnit" ma:displayName="Business Unit" ma:default="" ma:fieldId="{e4333cec-cd35-49b0-9b2b-a984de9ce1ed}" ma:sspId="147c72d7-14fc-40b8-9757-68ac2fd8ae9a" ma:termSetId="a2f96bf3-fd7a-4c43-8b51-4c50683e110b" ma:anchorId="00000000-0000-0000-0000-000000000000" ma:open="false" ma:isKeyword="false">
      <xsd:complexType>
        <xsd:sequence>
          <xsd:element ref="pc:Terms" minOccurs="0" maxOccurs="1"/>
        </xsd:sequence>
      </xsd:complexType>
    </xsd:element>
    <xsd:element name="e13f7c6e125846ca9e5165876eaa1b30" ma:index="59" nillable="true" ma:taxonomy="true" ma:internalName="e13f7c6e125846ca9e5165876eaa1b30" ma:taxonomyFieldName="DisposalClass" ma:displayName="Disposal Class" ma:readOnly="false" ma:default="" ma:fieldId="{e13f7c6e-1258-46ca-9e51-65876eaa1b30}" ma:sspId="147c72d7-14fc-40b8-9757-68ac2fd8ae9a" ma:termSetId="463c9a5c-c463-4e4a-910c-661bb568b6ba" ma:anchorId="00000000-0000-0000-0000-000000000000" ma:open="false" ma:isKeyword="false">
      <xsd:complexType>
        <xsd:sequence>
          <xsd:element ref="pc:Terms" minOccurs="0" maxOccurs="1"/>
        </xsd:sequence>
      </xsd:complexType>
    </xsd:element>
    <xsd:element name="LastModName" ma:index="61" nillable="true" ma:displayName="Last Modified by Name" ma:description="For archiving purposes" ma:internalName="LastModName">
      <xsd:simpleType>
        <xsd:restriction base="dms:Text"/>
      </xsd:simpleType>
    </xsd:element>
    <xsd:element name="eae731ec622d40fa98d8668e6740f701" ma:index="62" nillable="true" ma:taxonomy="true" ma:internalName="eae731ec622d40fa98d8668e6740f701" ma:taxonomyFieldName="HelpTopic" ma:displayName="Help Topic" ma:default="" ma:fieldId="{eae731ec-622d-40fa-98d8-668e6740f701}" ma:taxonomyMulti="true" ma:sspId="147c72d7-14fc-40b8-9757-68ac2fd8ae9a" ma:termSetId="f726e3fc-a8f4-422a-a475-c513f56f0bc8" ma:anchorId="00000000-0000-0000-0000-000000000000" ma:open="true" ma:isKeyword="false">
      <xsd:complexType>
        <xsd:sequence>
          <xsd:element ref="pc:Terms" minOccurs="0" maxOccurs="1"/>
        </xsd:sequence>
      </xsd:complexType>
    </xsd:element>
    <xsd:element name="Document_x0020_Control_x0020_Symbol" ma:index="64" nillable="true" ma:displayName="Document Control Symbol" ma:description="Document control symbol from RM8" ma:internalName="Document_x0020_Control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6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47c72d7-14fc-40b8-9757-68ac2fd8ae9a" ContentTypeId="0x010100E387570059B2A749AFEB864DE0479DFC" PreviousValue="false"/>
</file>

<file path=customXml/item5.xml><?xml version="1.0" encoding="utf-8"?>
<p:properties xmlns:p="http://schemas.microsoft.com/office/2006/metadata/properties" xmlns:xsi="http://www.w3.org/2001/XMLSchema-instance" xmlns:pc="http://schemas.microsoft.com/office/infopath/2007/PartnerControls">
  <documentManagement>
    <n2836933787a47b8b70e28960c3403f2 xmlns="540dc7de-372d-481f-ad26-43c15b62b4cb">
      <Terms xmlns="http://schemas.microsoft.com/office/infopath/2007/PartnerControls">
        <TermInfo xmlns="http://schemas.microsoft.com/office/infopath/2007/PartnerControls">
          <TermName xmlns="http://schemas.microsoft.com/office/infopath/2007/PartnerControls">Working documents</TermName>
          <TermId xmlns="http://schemas.microsoft.com/office/infopath/2007/PartnerControls">d525bb69-a84f-433c-abbc-a1046adc08ec</TermId>
        </TermInfo>
      </Terms>
    </n2836933787a47b8b70e28960c3403f2>
    <SecClass xmlns="540dc7de-372d-481f-ad26-43c15b62b4cb">Official</SecClass>
    <Year xmlns="540dc7de-372d-481f-ad26-43c15b62b4cb">2021</Year>
    <e4333ceccd3549b09b2ba984de9ce1ed xmlns="540dc7de-372d-481f-ad26-43c15b62b4cb">
      <Terms xmlns="http://schemas.microsoft.com/office/infopath/2007/PartnerControls">
        <TermInfo xmlns="http://schemas.microsoft.com/office/infopath/2007/PartnerControls">
          <TermName xmlns="http://schemas.microsoft.com/office/infopath/2007/PartnerControls">Marketing and Communications</TermName>
          <TermId xmlns="http://schemas.microsoft.com/office/infopath/2007/PartnerControls">b5d747dd-6ea9-489e-9ba8-4afc49050f3c</TermId>
        </TermInfo>
      </Terms>
    </e4333ceccd3549b09b2ba984de9ce1ed>
    <VitalRecord xmlns="540dc7de-372d-481f-ad26-43c15b62b4cb">false</VitalRecord>
    <_dlc_DocId xmlns="540dc7de-372d-481f-ad26-43c15b62b4cb">ACADCAM2022-939618085-75082</_dlc_DocId>
    <FinYear xmlns="540dc7de-372d-481f-ad26-43c15b62b4cb">2020-21</FinYear>
    <TaxCatchAll xmlns="540dc7de-372d-481f-ad26-43c15b62b4cb">
      <Value>3</Value>
      <Value>2</Value>
      <Value>1</Value>
    </TaxCatchAll>
    <facdae73cba2495d94230e7af94e68b0 xmlns="540dc7de-372d-481f-ad26-43c15b62b4cb">
      <Terms xmlns="http://schemas.microsoft.com/office/infopath/2007/PartnerControls"/>
    </facdae73cba2495d94230e7af94e68b0>
    <eae731ec622d40fa98d8668e6740f701 xmlns="540dc7de-372d-481f-ad26-43c15b62b4cb">
      <Terms xmlns="http://schemas.microsoft.com/office/infopath/2007/PartnerControls"/>
    </eae731ec622d40fa98d8668e6740f701>
    <e13f7c6e125846ca9e5165876eaa1b30 xmlns="540dc7de-372d-481f-ad26-43c15b62b4cb">
      <Terms xmlns="http://schemas.microsoft.com/office/infopath/2007/PartnerControls">
        <TermInfo xmlns="http://schemas.microsoft.com/office/infopath/2007/PartnerControls">
          <TermName xmlns="http://schemas.microsoft.com/office/infopath/2007/PartnerControls">Communications operational tasks (20443)</TermName>
          <TermId xmlns="http://schemas.microsoft.com/office/infopath/2007/PartnerControls">e26a452f-7cd1-4aa4-b0a9-7c945d169daa</TermId>
        </TermInfo>
      </Terms>
    </e13f7c6e125846ca9e5165876eaa1b30>
    <_dlc_DocIdUrl xmlns="540dc7de-372d-481f-ad26-43c15b62b4cb">
      <Url>https://australiacouncil.sharepoint.com/sites/Marketing/_layouts/15/DocIdRedir.aspx?ID=ACADCAM2022-939618085-75082</Url>
      <Description>ACADCAM2022-939618085-75082</Description>
    </_dlc_DocIdUrl>
    <EmCategory xmlns="540dc7de-372d-481f-ad26-43c15b62b4cb" xsi:nil="true"/>
    <SecCaveat xmlns="540dc7de-372d-481f-ad26-43c15b62b4cb" xsi:nil="true"/>
    <RetentionStatus xmlns="540dc7de-372d-481f-ad26-43c15b62b4cb" xsi:nil="true"/>
    <EmAttachmentNames xmlns="540dc7de-372d-481f-ad26-43c15b62b4cb" xsi:nil="true"/>
    <EmImportance xmlns="540dc7de-372d-481f-ad26-43c15b62b4cb" xsi:nil="true"/>
    <LastModDate xmlns="540dc7de-372d-481f-ad26-43c15b62b4cb" xsi:nil="true"/>
    <EmToAddress xmlns="540dc7de-372d-481f-ad26-43c15b62b4cb" xsi:nil="true"/>
    <ScanUser xmlns="540dc7de-372d-481f-ad26-43c15b62b4cb">
      <UserInfo>
        <DisplayName/>
        <AccountId xsi:nil="true"/>
        <AccountType/>
      </UserInfo>
    </ScanUser>
    <EmFromName xmlns="540dc7de-372d-481f-ad26-43c15b62b4cb" xsi:nil="true"/>
    <Document_x0020_Control_x0020_Symbol xmlns="540dc7de-372d-481f-ad26-43c15b62b4cb" xsi:nil="true"/>
    <EmDate xmlns="540dc7de-372d-481f-ad26-43c15b62b4cb" xsi:nil="true"/>
    <Nextrevdate xmlns="540dc7de-372d-481f-ad26-43c15b62b4cb" xsi:nil="true"/>
    <EmCC xmlns="540dc7de-372d-481f-ad26-43c15b62b4cb" xsi:nil="true"/>
    <EmCon xmlns="540dc7de-372d-481f-ad26-43c15b62b4cb" xsi:nil="true"/>
    <EmConversationID xmlns="540dc7de-372d-481f-ad26-43c15b62b4cb" xsi:nil="true"/>
    <EmConversationIndex xmlns="540dc7de-372d-481f-ad26-43c15b62b4cb" xsi:nil="true"/>
    <EmID xmlns="540dc7de-372d-481f-ad26-43c15b62b4cb" xsi:nil="true"/>
    <Source xmlns="540dc7de-372d-481f-ad26-43c15b62b4cb" xsi:nil="true"/>
    <EmAttachCount xmlns="540dc7de-372d-481f-ad26-43c15b62b4cb" xsi:nil="true"/>
    <EmSubject xmlns="540dc7de-372d-481f-ad26-43c15b62b4cb" xsi:nil="true"/>
    <EmType xmlns="540dc7de-372d-481f-ad26-43c15b62b4cb" xsi:nil="true"/>
    <Symbolcode xmlns="540dc7de-372d-481f-ad26-43c15b62b4cb" xsi:nil="true"/>
    <LastModName xmlns="540dc7de-372d-481f-ad26-43c15b62b4cb" xsi:nil="true"/>
    <Transferdate xmlns="540dc7de-372d-481f-ad26-43c15b62b4cb" xsi:nil="true"/>
    <RetentionAction xmlns="540dc7de-372d-481f-ad26-43c15b62b4cb" xsi:nil="true"/>
    <EmBody xmlns="540dc7de-372d-481f-ad26-43c15b62b4cb" xsi:nil="true"/>
    <EmBCC xmlns="540dc7de-372d-481f-ad26-43c15b62b4cb" xsi:nil="true"/>
    <EmDateReceived xmlns="540dc7de-372d-481f-ad26-43c15b62b4cb" xsi:nil="true"/>
    <EmFrom xmlns="540dc7de-372d-481f-ad26-43c15b62b4cb" xsi:nil="true"/>
    <CreateName xmlns="540dc7de-372d-481f-ad26-43c15b62b4cb" xsi:nil="true"/>
    <CreateDate xmlns="540dc7de-372d-481f-ad26-43c15b62b4cb" xsi:nil="true"/>
    <Lastrevdate xmlns="540dc7de-372d-481f-ad26-43c15b62b4cb" xsi:nil="true"/>
    <Deletedate xmlns="540dc7de-372d-481f-ad26-43c15b62b4cb" xsi:nil="true"/>
    <EmDateSent xmlns="540dc7de-372d-481f-ad26-43c15b62b4cb" xsi:nil="true"/>
    <EmSensitivity xmlns="540dc7de-372d-481f-ad26-43c15b62b4cb" xsi:nil="true"/>
    <ScannedName xmlns="540dc7de-372d-481f-ad26-43c15b62b4cb" xsi:nil="true"/>
    <ScannedDate xmlns="540dc7de-372d-481f-ad26-43c15b62b4cb" xsi:nil="true"/>
    <EmTo xmlns="540dc7de-372d-481f-ad26-43c15b62b4cb"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0B8B80-0FDF-4B0B-817E-0B5292F18C2A}">
  <ds:schemaRefs>
    <ds:schemaRef ds:uri="http://schemas.openxmlformats.org/officeDocument/2006/bibliography"/>
  </ds:schemaRefs>
</ds:datastoreItem>
</file>

<file path=customXml/itemProps3.xml><?xml version="1.0" encoding="utf-8"?>
<ds:datastoreItem xmlns:ds="http://schemas.openxmlformats.org/officeDocument/2006/customXml" ds:itemID="{44AE51A0-90B5-47AA-8590-5EACDF2D0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dc7de-372d-481f-ad26-43c15b62b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FD2045-9C1A-4F85-99D7-3D789F74E472}">
  <ds:schemaRefs>
    <ds:schemaRef ds:uri="Microsoft.SharePoint.Taxonomy.ContentTypeSync"/>
  </ds:schemaRefs>
</ds:datastoreItem>
</file>

<file path=customXml/itemProps5.xml><?xml version="1.0" encoding="utf-8"?>
<ds:datastoreItem xmlns:ds="http://schemas.openxmlformats.org/officeDocument/2006/customXml" ds:itemID="{666F28C9-0DFB-4C9E-9BA4-3C2CBB118BBB}">
  <ds:schemaRefs>
    <ds:schemaRef ds:uri="http://schemas.openxmlformats.org/package/2006/metadata/core-properties"/>
    <ds:schemaRef ds:uri="540dc7de-372d-481f-ad26-43c15b62b4cb"/>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BC50856E-B87D-4D2B-89FD-6781E0795BE9}">
  <ds:schemaRefs>
    <ds:schemaRef ds:uri="http://schemas.microsoft.com/sharepoint/v3/contenttype/forms"/>
  </ds:schemaRefs>
</ds:datastoreItem>
</file>

<file path=customXml/itemProps7.xml><?xml version="1.0" encoding="utf-8"?>
<ds:datastoreItem xmlns:ds="http://schemas.openxmlformats.org/officeDocument/2006/customXml" ds:itemID="{29A295B1-B178-4F68-A115-61B33A6D92E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2022Impacts of COVID-19 on the cultural and creative industries</Template>
  <TotalTime>20</TotalTime>
  <Pages>29</Pages>
  <Words>9682</Words>
  <Characters>54361</Characters>
  <Application>Microsoft Office Word</Application>
  <DocSecurity>0</DocSecurity>
  <Lines>916</Lines>
  <Paragraphs>353</Paragraphs>
  <ScaleCrop>false</ScaleCrop>
  <Company/>
  <LinksUpToDate>false</LinksUpToDate>
  <CharactersWithSpaces>63927</CharactersWithSpaces>
  <SharedDoc>false</SharedDoc>
  <HLinks>
    <vt:vector size="612" baseType="variant">
      <vt:variant>
        <vt:i4>1835060</vt:i4>
      </vt:variant>
      <vt:variant>
        <vt:i4>56</vt:i4>
      </vt:variant>
      <vt:variant>
        <vt:i4>0</vt:i4>
      </vt:variant>
      <vt:variant>
        <vt:i4>5</vt:i4>
      </vt:variant>
      <vt:variant>
        <vt:lpwstr/>
      </vt:variant>
      <vt:variant>
        <vt:lpwstr>_Toc103943214</vt:lpwstr>
      </vt:variant>
      <vt:variant>
        <vt:i4>1900596</vt:i4>
      </vt:variant>
      <vt:variant>
        <vt:i4>50</vt:i4>
      </vt:variant>
      <vt:variant>
        <vt:i4>0</vt:i4>
      </vt:variant>
      <vt:variant>
        <vt:i4>5</vt:i4>
      </vt:variant>
      <vt:variant>
        <vt:lpwstr/>
      </vt:variant>
      <vt:variant>
        <vt:lpwstr>_Toc103943207</vt:lpwstr>
      </vt:variant>
      <vt:variant>
        <vt:i4>1900596</vt:i4>
      </vt:variant>
      <vt:variant>
        <vt:i4>44</vt:i4>
      </vt:variant>
      <vt:variant>
        <vt:i4>0</vt:i4>
      </vt:variant>
      <vt:variant>
        <vt:i4>5</vt:i4>
      </vt:variant>
      <vt:variant>
        <vt:lpwstr/>
      </vt:variant>
      <vt:variant>
        <vt:lpwstr>_Toc103943205</vt:lpwstr>
      </vt:variant>
      <vt:variant>
        <vt:i4>1310775</vt:i4>
      </vt:variant>
      <vt:variant>
        <vt:i4>38</vt:i4>
      </vt:variant>
      <vt:variant>
        <vt:i4>0</vt:i4>
      </vt:variant>
      <vt:variant>
        <vt:i4>5</vt:i4>
      </vt:variant>
      <vt:variant>
        <vt:lpwstr/>
      </vt:variant>
      <vt:variant>
        <vt:lpwstr>_Toc103943193</vt:lpwstr>
      </vt:variant>
      <vt:variant>
        <vt:i4>1310775</vt:i4>
      </vt:variant>
      <vt:variant>
        <vt:i4>32</vt:i4>
      </vt:variant>
      <vt:variant>
        <vt:i4>0</vt:i4>
      </vt:variant>
      <vt:variant>
        <vt:i4>5</vt:i4>
      </vt:variant>
      <vt:variant>
        <vt:lpwstr/>
      </vt:variant>
      <vt:variant>
        <vt:lpwstr>_Toc103943192</vt:lpwstr>
      </vt:variant>
      <vt:variant>
        <vt:i4>1310775</vt:i4>
      </vt:variant>
      <vt:variant>
        <vt:i4>26</vt:i4>
      </vt:variant>
      <vt:variant>
        <vt:i4>0</vt:i4>
      </vt:variant>
      <vt:variant>
        <vt:i4>5</vt:i4>
      </vt:variant>
      <vt:variant>
        <vt:lpwstr/>
      </vt:variant>
      <vt:variant>
        <vt:lpwstr>_Toc103943191</vt:lpwstr>
      </vt:variant>
      <vt:variant>
        <vt:i4>1310775</vt:i4>
      </vt:variant>
      <vt:variant>
        <vt:i4>20</vt:i4>
      </vt:variant>
      <vt:variant>
        <vt:i4>0</vt:i4>
      </vt:variant>
      <vt:variant>
        <vt:i4>5</vt:i4>
      </vt:variant>
      <vt:variant>
        <vt:lpwstr/>
      </vt:variant>
      <vt:variant>
        <vt:lpwstr>_Toc103943190</vt:lpwstr>
      </vt:variant>
      <vt:variant>
        <vt:i4>1376311</vt:i4>
      </vt:variant>
      <vt:variant>
        <vt:i4>14</vt:i4>
      </vt:variant>
      <vt:variant>
        <vt:i4>0</vt:i4>
      </vt:variant>
      <vt:variant>
        <vt:i4>5</vt:i4>
      </vt:variant>
      <vt:variant>
        <vt:lpwstr/>
      </vt:variant>
      <vt:variant>
        <vt:lpwstr>_Toc103943189</vt:lpwstr>
      </vt:variant>
      <vt:variant>
        <vt:i4>1376311</vt:i4>
      </vt:variant>
      <vt:variant>
        <vt:i4>8</vt:i4>
      </vt:variant>
      <vt:variant>
        <vt:i4>0</vt:i4>
      </vt:variant>
      <vt:variant>
        <vt:i4>5</vt:i4>
      </vt:variant>
      <vt:variant>
        <vt:lpwstr/>
      </vt:variant>
      <vt:variant>
        <vt:lpwstr>_Toc103943188</vt:lpwstr>
      </vt:variant>
      <vt:variant>
        <vt:i4>1376311</vt:i4>
      </vt:variant>
      <vt:variant>
        <vt:i4>2</vt:i4>
      </vt:variant>
      <vt:variant>
        <vt:i4>0</vt:i4>
      </vt:variant>
      <vt:variant>
        <vt:i4>5</vt:i4>
      </vt:variant>
      <vt:variant>
        <vt:lpwstr/>
      </vt:variant>
      <vt:variant>
        <vt:lpwstr>_Toc103943187</vt:lpwstr>
      </vt:variant>
      <vt:variant>
        <vt:i4>3670133</vt:i4>
      </vt:variant>
      <vt:variant>
        <vt:i4>273</vt:i4>
      </vt:variant>
      <vt:variant>
        <vt:i4>0</vt:i4>
      </vt:variant>
      <vt:variant>
        <vt:i4>5</vt:i4>
      </vt:variant>
      <vt:variant>
        <vt:lpwstr>https://diversityarts.org.au/tools-resources/read-lost-work-for-creatives-of-colour-and-organisations-2-0/</vt:lpwstr>
      </vt:variant>
      <vt:variant>
        <vt:lpwstr/>
      </vt:variant>
      <vt:variant>
        <vt:i4>104</vt:i4>
      </vt:variant>
      <vt:variant>
        <vt:i4>270</vt:i4>
      </vt:variant>
      <vt:variant>
        <vt:i4>0</vt:i4>
      </vt:variant>
      <vt:variant>
        <vt:i4>5</vt:i4>
      </vt:variant>
      <vt:variant>
        <vt:lpwstr>https://yirrayaakin.com.au/wp-content/uploads/First-Nations-COVID-19-Performing-Arts-Impact-Survey-Summary-Report_Feb21.pdf</vt:lpwstr>
      </vt:variant>
      <vt:variant>
        <vt:lpwstr/>
      </vt:variant>
      <vt:variant>
        <vt:i4>3801209</vt:i4>
      </vt:variant>
      <vt:variant>
        <vt:i4>267</vt:i4>
      </vt:variant>
      <vt:variant>
        <vt:i4>0</vt:i4>
      </vt:variant>
      <vt:variant>
        <vt:i4>5</vt:i4>
      </vt:variant>
      <vt:variant>
        <vt:lpwstr>https://www.artshub.com.au/news/news/support-act-wellbeing-helpline-expands-to-include-all-artists-and-arts-workers-260401-2367372/</vt:lpwstr>
      </vt:variant>
      <vt:variant>
        <vt:lpwstr/>
      </vt:variant>
      <vt:variant>
        <vt:i4>4522060</vt:i4>
      </vt:variant>
      <vt:variant>
        <vt:i4>264</vt:i4>
      </vt:variant>
      <vt:variant>
        <vt:i4>0</vt:i4>
      </vt:variant>
      <vt:variant>
        <vt:i4>5</vt:i4>
      </vt:variant>
      <vt:variant>
        <vt:lpwstr>https://www.infrastructure.gov.au/media-centre/publications/characteristics-employment-and-business-activity-cultural-and-creative-sectors-fact-sheet</vt:lpwstr>
      </vt:variant>
      <vt:variant>
        <vt:lpwstr/>
      </vt:variant>
      <vt:variant>
        <vt:i4>1638422</vt:i4>
      </vt:variant>
      <vt:variant>
        <vt:i4>261</vt:i4>
      </vt:variant>
      <vt:variant>
        <vt:i4>0</vt:i4>
      </vt:variant>
      <vt:variant>
        <vt:i4>5</vt:i4>
      </vt:variant>
      <vt:variant>
        <vt:lpwstr>https://www.smh.com.au/culture/art-and-design/helped-us-enormously-arts-sector-received-100m-from-government-in-april-20200604-p54zlr.html</vt:lpwstr>
      </vt:variant>
      <vt:variant>
        <vt:lpwstr>:~:text=There%20are%20around%2040%2C000%20private,a%20JobKeeper%20payment%20in%20April.</vt:lpwstr>
      </vt:variant>
      <vt:variant>
        <vt:i4>917526</vt:i4>
      </vt:variant>
      <vt:variant>
        <vt:i4>258</vt:i4>
      </vt:variant>
      <vt:variant>
        <vt:i4>0</vt:i4>
      </vt:variant>
      <vt:variant>
        <vt:i4>5</vt:i4>
      </vt:variant>
      <vt:variant>
        <vt:lpwstr>https://australiacouncil.gov.au/about-us/our-covid-19-response/covid-19-research/</vt:lpwstr>
      </vt:variant>
      <vt:variant>
        <vt:lpwstr/>
      </vt:variant>
      <vt:variant>
        <vt:i4>1179721</vt:i4>
      </vt:variant>
      <vt:variant>
        <vt:i4>255</vt:i4>
      </vt:variant>
      <vt:variant>
        <vt:i4>0</vt:i4>
      </vt:variant>
      <vt:variant>
        <vt:i4>5</vt:i4>
      </vt:variant>
      <vt:variant>
        <vt:lpwstr>https://australiacouncil.gov.au/investment-and-development/sector-recovery-initiatives/2020-resilience-fund/</vt:lpwstr>
      </vt:variant>
      <vt:variant>
        <vt:lpwstr/>
      </vt:variant>
      <vt:variant>
        <vt:i4>917526</vt:i4>
      </vt:variant>
      <vt:variant>
        <vt:i4>252</vt:i4>
      </vt:variant>
      <vt:variant>
        <vt:i4>0</vt:i4>
      </vt:variant>
      <vt:variant>
        <vt:i4>5</vt:i4>
      </vt:variant>
      <vt:variant>
        <vt:lpwstr>https://australiacouncil.gov.au/about-us/our-covid-19-response/covid-19-research/</vt:lpwstr>
      </vt:variant>
      <vt:variant>
        <vt:lpwstr/>
      </vt:variant>
      <vt:variant>
        <vt:i4>3080242</vt:i4>
      </vt:variant>
      <vt:variant>
        <vt:i4>249</vt:i4>
      </vt:variant>
      <vt:variant>
        <vt:i4>0</vt:i4>
      </vt:variant>
      <vt:variant>
        <vt:i4>5</vt:i4>
      </vt:variant>
      <vt:variant>
        <vt:lpwstr>https://ilostmygig.net.au/latest-news/f/wide-scale-job-cancellations-and-nearly-50m-in-lost-income</vt:lpwstr>
      </vt:variant>
      <vt:variant>
        <vt:lpwstr/>
      </vt:variant>
      <vt:variant>
        <vt:i4>6029388</vt:i4>
      </vt:variant>
      <vt:variant>
        <vt:i4>246</vt:i4>
      </vt:variant>
      <vt:variant>
        <vt:i4>0</vt:i4>
      </vt:variant>
      <vt:variant>
        <vt:i4>5</vt:i4>
      </vt:variant>
      <vt:variant>
        <vt:lpwstr>https://australiacouncil.gov.au/advocacy-and-research/making-music-work/</vt:lpwstr>
      </vt:variant>
      <vt:variant>
        <vt:lpwstr/>
      </vt:variant>
      <vt:variant>
        <vt:i4>786498</vt:i4>
      </vt:variant>
      <vt:variant>
        <vt:i4>243</vt:i4>
      </vt:variant>
      <vt:variant>
        <vt:i4>0</vt:i4>
      </vt:variant>
      <vt:variant>
        <vt:i4>5</vt:i4>
      </vt:variant>
      <vt:variant>
        <vt:lpwstr>https://sharpeadvisory.com.au/covid-19-creative-industries-freelancers-non-permanent-residents-and-jobkeeper/</vt:lpwstr>
      </vt:variant>
      <vt:variant>
        <vt:lpwstr/>
      </vt:variant>
      <vt:variant>
        <vt:i4>3407906</vt:i4>
      </vt:variant>
      <vt:variant>
        <vt:i4>240</vt:i4>
      </vt:variant>
      <vt:variant>
        <vt:i4>0</vt:i4>
      </vt:variant>
      <vt:variant>
        <vt:i4>5</vt:i4>
      </vt:variant>
      <vt:variant>
        <vt:lpwstr>https://australiacouncil.gov.au/advocacy-and-research/making-art-work/</vt:lpwstr>
      </vt:variant>
      <vt:variant>
        <vt:lpwstr/>
      </vt:variant>
      <vt:variant>
        <vt:i4>3407906</vt:i4>
      </vt:variant>
      <vt:variant>
        <vt:i4>237</vt:i4>
      </vt:variant>
      <vt:variant>
        <vt:i4>0</vt:i4>
      </vt:variant>
      <vt:variant>
        <vt:i4>5</vt:i4>
      </vt:variant>
      <vt:variant>
        <vt:lpwstr>https://australiacouncil.gov.au/advocacy-and-research/making-art-work/</vt:lpwstr>
      </vt:variant>
      <vt:variant>
        <vt:lpwstr/>
      </vt:variant>
      <vt:variant>
        <vt:i4>3866749</vt:i4>
      </vt:variant>
      <vt:variant>
        <vt:i4>234</vt:i4>
      </vt:variant>
      <vt:variant>
        <vt:i4>0</vt:i4>
      </vt:variant>
      <vt:variant>
        <vt:i4>5</vt:i4>
      </vt:variant>
      <vt:variant>
        <vt:lpwstr>https://visualarts.net.au/news-opinion/2022/omicron-struggle-visual-arts-pulse-survey-data/</vt:lpwstr>
      </vt:variant>
      <vt:variant>
        <vt:lpwstr/>
      </vt:variant>
      <vt:variant>
        <vt:i4>3276909</vt:i4>
      </vt:variant>
      <vt:variant>
        <vt:i4>231</vt:i4>
      </vt:variant>
      <vt:variant>
        <vt:i4>0</vt:i4>
      </vt:variant>
      <vt:variant>
        <vt:i4>5</vt:i4>
      </vt:variant>
      <vt:variant>
        <vt:lpwstr>https://www.artshub.com.au/news/news/audience-hesitancy-is-omicrons-new-curse-2525315/</vt:lpwstr>
      </vt:variant>
      <vt:variant>
        <vt:lpwstr/>
      </vt:variant>
      <vt:variant>
        <vt:i4>2883708</vt:i4>
      </vt:variant>
      <vt:variant>
        <vt:i4>228</vt:i4>
      </vt:variant>
      <vt:variant>
        <vt:i4>0</vt:i4>
      </vt:variant>
      <vt:variant>
        <vt:i4>5</vt:i4>
      </vt:variant>
      <vt:variant>
        <vt:lpwstr>https://en.unesco.org/creativity/publications/2022-global-report-reshaping-policies-creativity</vt:lpwstr>
      </vt:variant>
      <vt:variant>
        <vt:lpwstr/>
      </vt:variant>
      <vt:variant>
        <vt:i4>2883708</vt:i4>
      </vt:variant>
      <vt:variant>
        <vt:i4>225</vt:i4>
      </vt:variant>
      <vt:variant>
        <vt:i4>0</vt:i4>
      </vt:variant>
      <vt:variant>
        <vt:i4>5</vt:i4>
      </vt:variant>
      <vt:variant>
        <vt:lpwstr>https://en.unesco.org/creativity/publications/2022-global-report-reshaping-policies-creativity</vt:lpwstr>
      </vt:variant>
      <vt:variant>
        <vt:lpwstr/>
      </vt:variant>
      <vt:variant>
        <vt:i4>131161</vt:i4>
      </vt:variant>
      <vt:variant>
        <vt:i4>222</vt:i4>
      </vt:variant>
      <vt:variant>
        <vt:i4>0</vt:i4>
      </vt:variant>
      <vt:variant>
        <vt:i4>5</vt:i4>
      </vt:variant>
      <vt:variant>
        <vt:lpwstr>https://www.abs.gov.au/articles/insights-industry-and-occupation</vt:lpwstr>
      </vt:variant>
      <vt:variant>
        <vt:lpwstr/>
      </vt:variant>
      <vt:variant>
        <vt:i4>3407906</vt:i4>
      </vt:variant>
      <vt:variant>
        <vt:i4>219</vt:i4>
      </vt:variant>
      <vt:variant>
        <vt:i4>0</vt:i4>
      </vt:variant>
      <vt:variant>
        <vt:i4>5</vt:i4>
      </vt:variant>
      <vt:variant>
        <vt:lpwstr>https://australiacouncil.gov.au/advocacy-and-research/making-art-work/</vt:lpwstr>
      </vt:variant>
      <vt:variant>
        <vt:lpwstr/>
      </vt:variant>
      <vt:variant>
        <vt:i4>4915227</vt:i4>
      </vt:variant>
      <vt:variant>
        <vt:i4>216</vt:i4>
      </vt:variant>
      <vt:variant>
        <vt:i4>0</vt:i4>
      </vt:variant>
      <vt:variant>
        <vt:i4>5</vt:i4>
      </vt:variant>
      <vt:variant>
        <vt:lpwstr>https://australiacouncil.gov.au/wp-content/uploads/2021/08/Guide-to-Government-COVID-19-Assistance-for-the-Arts-2021.pdf</vt:lpwstr>
      </vt:variant>
      <vt:variant>
        <vt:lpwstr/>
      </vt:variant>
      <vt:variant>
        <vt:i4>5177345</vt:i4>
      </vt:variant>
      <vt:variant>
        <vt:i4>213</vt:i4>
      </vt:variant>
      <vt:variant>
        <vt:i4>0</vt:i4>
      </vt:variant>
      <vt:variant>
        <vt:i4>5</vt:i4>
      </vt:variant>
      <vt:variant>
        <vt:lpwstr>https://australiainstitute.org.au/report/creativity-in-crisis-rebooting-australias-arts-and-entertainment-sector-after-covid/</vt:lpwstr>
      </vt:variant>
      <vt:variant>
        <vt:lpwstr/>
      </vt:variant>
      <vt:variant>
        <vt:i4>1638422</vt:i4>
      </vt:variant>
      <vt:variant>
        <vt:i4>210</vt:i4>
      </vt:variant>
      <vt:variant>
        <vt:i4>0</vt:i4>
      </vt:variant>
      <vt:variant>
        <vt:i4>5</vt:i4>
      </vt:variant>
      <vt:variant>
        <vt:lpwstr>https://www.smh.com.au/culture/art-and-design/helped-us-enormously-arts-sector-received-100m-from-government-in-april-20200604-p54zlr.html</vt:lpwstr>
      </vt:variant>
      <vt:variant>
        <vt:lpwstr>:~:text=There%20are%20around%2040%2C000%20private,a%20JobKeeper%20payment%20in%20April.</vt:lpwstr>
      </vt:variant>
      <vt:variant>
        <vt:i4>1179721</vt:i4>
      </vt:variant>
      <vt:variant>
        <vt:i4>207</vt:i4>
      </vt:variant>
      <vt:variant>
        <vt:i4>0</vt:i4>
      </vt:variant>
      <vt:variant>
        <vt:i4>5</vt:i4>
      </vt:variant>
      <vt:variant>
        <vt:lpwstr>https://australiacouncil.gov.au/investment-and-development/sector-recovery-initiatives/2020-resilience-fund/</vt:lpwstr>
      </vt:variant>
      <vt:variant>
        <vt:lpwstr/>
      </vt:variant>
      <vt:variant>
        <vt:i4>2228257</vt:i4>
      </vt:variant>
      <vt:variant>
        <vt:i4>204</vt:i4>
      </vt:variant>
      <vt:variant>
        <vt:i4>0</vt:i4>
      </vt:variant>
      <vt:variant>
        <vt:i4>5</vt:i4>
      </vt:variant>
      <vt:variant>
        <vt:lpwstr>https://www.abs.gov.au/statistics/economy/business-indicators/business-conditions-and-sentiments/latest-release</vt:lpwstr>
      </vt:variant>
      <vt:variant>
        <vt:lpwstr/>
      </vt:variant>
      <vt:variant>
        <vt:i4>1245266</vt:i4>
      </vt:variant>
      <vt:variant>
        <vt:i4>201</vt:i4>
      </vt:variant>
      <vt:variant>
        <vt:i4>0</vt:i4>
      </vt:variant>
      <vt:variant>
        <vt:i4>5</vt:i4>
      </vt:variant>
      <vt:variant>
        <vt:lpwstr>https://www.abs.gov.au/statistics/economy/business-indicators/business-conditions-and-sentiments/jan-2022</vt:lpwstr>
      </vt:variant>
      <vt:variant>
        <vt:lpwstr/>
      </vt:variant>
      <vt:variant>
        <vt:i4>3604530</vt:i4>
      </vt:variant>
      <vt:variant>
        <vt:i4>198</vt:i4>
      </vt:variant>
      <vt:variant>
        <vt:i4>0</vt:i4>
      </vt:variant>
      <vt:variant>
        <vt:i4>5</vt:i4>
      </vt:variant>
      <vt:variant>
        <vt:lpwstr>https://ilostmygig.net.au/</vt:lpwstr>
      </vt:variant>
      <vt:variant>
        <vt:lpwstr/>
      </vt:variant>
      <vt:variant>
        <vt:i4>1048662</vt:i4>
      </vt:variant>
      <vt:variant>
        <vt:i4>195</vt:i4>
      </vt:variant>
      <vt:variant>
        <vt:i4>0</vt:i4>
      </vt:variant>
      <vt:variant>
        <vt:i4>5</vt:i4>
      </vt:variant>
      <vt:variant>
        <vt:lpwstr>https://www.abs.gov.au/statistics/economy/business-indicators/business-conditions-and-sentiments/dec-2020</vt:lpwstr>
      </vt:variant>
      <vt:variant>
        <vt:lpwstr/>
      </vt:variant>
      <vt:variant>
        <vt:i4>3670139</vt:i4>
      </vt:variant>
      <vt:variant>
        <vt:i4>192</vt:i4>
      </vt:variant>
      <vt:variant>
        <vt:i4>0</vt:i4>
      </vt:variant>
      <vt:variant>
        <vt:i4>5</vt:i4>
      </vt:variant>
      <vt:variant>
        <vt:lpwstr>https://australiacouncil.gov.au/advocacy-and-research/in-real-life/</vt:lpwstr>
      </vt:variant>
      <vt:variant>
        <vt:lpwstr/>
      </vt:variant>
      <vt:variant>
        <vt:i4>6750330</vt:i4>
      </vt:variant>
      <vt:variant>
        <vt:i4>189</vt:i4>
      </vt:variant>
      <vt:variant>
        <vt:i4>0</vt:i4>
      </vt:variant>
      <vt:variant>
        <vt:i4>5</vt:i4>
      </vt:variant>
      <vt:variant>
        <vt:lpwstr>https://daaf.com.au/digital-daaf-a-roaring-success/</vt:lpwstr>
      </vt:variant>
      <vt:variant>
        <vt:lpwstr/>
      </vt:variant>
      <vt:variant>
        <vt:i4>4980805</vt:i4>
      </vt:variant>
      <vt:variant>
        <vt:i4>186</vt:i4>
      </vt:variant>
      <vt:variant>
        <vt:i4>0</vt:i4>
      </vt:variant>
      <vt:variant>
        <vt:i4>5</vt:i4>
      </vt:variant>
      <vt:variant>
        <vt:lpwstr>https://ciaf.com.au/publications</vt:lpwstr>
      </vt:variant>
      <vt:variant>
        <vt:lpwstr/>
      </vt:variant>
      <vt:variant>
        <vt:i4>8192127</vt:i4>
      </vt:variant>
      <vt:variant>
        <vt:i4>183</vt:i4>
      </vt:variant>
      <vt:variant>
        <vt:i4>0</vt:i4>
      </vt:variant>
      <vt:variant>
        <vt:i4>5</vt:i4>
      </vt:variant>
      <vt:variant>
        <vt:lpwstr>https://desart.com.au/publication/art-centres-and-covid-19-an-update-on-the-pandemics-ongoing-impact-july-to-december-2020/</vt:lpwstr>
      </vt:variant>
      <vt:variant>
        <vt:lpwstr/>
      </vt:variant>
      <vt:variant>
        <vt:i4>3014690</vt:i4>
      </vt:variant>
      <vt:variant>
        <vt:i4>180</vt:i4>
      </vt:variant>
      <vt:variant>
        <vt:i4>0</vt:i4>
      </vt:variant>
      <vt:variant>
        <vt:i4>5</vt:i4>
      </vt:variant>
      <vt:variant>
        <vt:lpwstr>https://desart.com.au/publication/art-centres-and-covid19-impact-statement/</vt:lpwstr>
      </vt:variant>
      <vt:variant>
        <vt:lpwstr/>
      </vt:variant>
      <vt:variant>
        <vt:i4>5832793</vt:i4>
      </vt:variant>
      <vt:variant>
        <vt:i4>177</vt:i4>
      </vt:variant>
      <vt:variant>
        <vt:i4>0</vt:i4>
      </vt:variant>
      <vt:variant>
        <vt:i4>5</vt:i4>
      </vt:variant>
      <vt:variant>
        <vt:lpwstr>http://www.ilostmygig.net.au/</vt:lpwstr>
      </vt:variant>
      <vt:variant>
        <vt:lpwstr/>
      </vt:variant>
      <vt:variant>
        <vt:i4>917526</vt:i4>
      </vt:variant>
      <vt:variant>
        <vt:i4>174</vt:i4>
      </vt:variant>
      <vt:variant>
        <vt:i4>0</vt:i4>
      </vt:variant>
      <vt:variant>
        <vt:i4>5</vt:i4>
      </vt:variant>
      <vt:variant>
        <vt:lpwstr>https://australiacouncil.gov.au/about-us/our-covid-19-response/covid-19-research/</vt:lpwstr>
      </vt:variant>
      <vt:variant>
        <vt:lpwstr/>
      </vt:variant>
      <vt:variant>
        <vt:i4>262150</vt:i4>
      </vt:variant>
      <vt:variant>
        <vt:i4>171</vt:i4>
      </vt:variant>
      <vt:variant>
        <vt:i4>0</vt:i4>
      </vt:variant>
      <vt:variant>
        <vt:i4>5</vt:i4>
      </vt:variant>
      <vt:variant>
        <vt:lpwstr>https://www.abs.gov.au/statistics/labour/earnings-and-work-hours/weekly-payroll-jobs-and-wages-australia</vt:lpwstr>
      </vt:variant>
      <vt:variant>
        <vt:lpwstr/>
      </vt:variant>
      <vt:variant>
        <vt:i4>262211</vt:i4>
      </vt:variant>
      <vt:variant>
        <vt:i4>168</vt:i4>
      </vt:variant>
      <vt:variant>
        <vt:i4>0</vt:i4>
      </vt:variant>
      <vt:variant>
        <vt:i4>5</vt:i4>
      </vt:variant>
      <vt:variant>
        <vt:lpwstr>https://www.abs.gov.au/statistics/economy/business-indicators/business-conditions-and-sentiments/apr-2020</vt:lpwstr>
      </vt:variant>
      <vt:variant>
        <vt:lpwstr/>
      </vt:variant>
      <vt:variant>
        <vt:i4>7733284</vt:i4>
      </vt:variant>
      <vt:variant>
        <vt:i4>165</vt:i4>
      </vt:variant>
      <vt:variant>
        <vt:i4>0</vt:i4>
      </vt:variant>
      <vt:variant>
        <vt:i4>5</vt:i4>
      </vt:variant>
      <vt:variant>
        <vt:lpwstr>https://culturecounts.cc/blog/covid-19-impact-on-cultural-industries-april-snapshot</vt:lpwstr>
      </vt:variant>
      <vt:variant>
        <vt:lpwstr/>
      </vt:variant>
      <vt:variant>
        <vt:i4>262211</vt:i4>
      </vt:variant>
      <vt:variant>
        <vt:i4>162</vt:i4>
      </vt:variant>
      <vt:variant>
        <vt:i4>0</vt:i4>
      </vt:variant>
      <vt:variant>
        <vt:i4>5</vt:i4>
      </vt:variant>
      <vt:variant>
        <vt:lpwstr>https://www.abs.gov.au/statistics/economy/business-indicators/business-conditions-and-sentiments/apr-2020</vt:lpwstr>
      </vt:variant>
      <vt:variant>
        <vt:lpwstr/>
      </vt:variant>
      <vt:variant>
        <vt:i4>4522060</vt:i4>
      </vt:variant>
      <vt:variant>
        <vt:i4>159</vt:i4>
      </vt:variant>
      <vt:variant>
        <vt:i4>0</vt:i4>
      </vt:variant>
      <vt:variant>
        <vt:i4>5</vt:i4>
      </vt:variant>
      <vt:variant>
        <vt:lpwstr>https://www.infrastructure.gov.au/media-centre/publications/characteristics-employment-and-business-activity-cultural-and-creative-sectors-fact-sheet</vt:lpwstr>
      </vt:variant>
      <vt:variant>
        <vt:lpwstr/>
      </vt:variant>
      <vt:variant>
        <vt:i4>3407906</vt:i4>
      </vt:variant>
      <vt:variant>
        <vt:i4>156</vt:i4>
      </vt:variant>
      <vt:variant>
        <vt:i4>0</vt:i4>
      </vt:variant>
      <vt:variant>
        <vt:i4>5</vt:i4>
      </vt:variant>
      <vt:variant>
        <vt:lpwstr>https://australiacouncil.gov.au/advocacy-and-research/making-art-work/</vt:lpwstr>
      </vt:variant>
      <vt:variant>
        <vt:lpwstr/>
      </vt:variant>
      <vt:variant>
        <vt:i4>6488180</vt:i4>
      </vt:variant>
      <vt:variant>
        <vt:i4>153</vt:i4>
      </vt:variant>
      <vt:variant>
        <vt:i4>0</vt:i4>
      </vt:variant>
      <vt:variant>
        <vt:i4>5</vt:i4>
      </vt:variant>
      <vt:variant>
        <vt:lpwstr>https://www.arts.gov.au/cultural-data-online/government-cultural-funding-and-participation</vt:lpwstr>
      </vt:variant>
      <vt:variant>
        <vt:lpwstr/>
      </vt:variant>
      <vt:variant>
        <vt:i4>1966101</vt:i4>
      </vt:variant>
      <vt:variant>
        <vt:i4>150</vt:i4>
      </vt:variant>
      <vt:variant>
        <vt:i4>0</vt:i4>
      </vt:variant>
      <vt:variant>
        <vt:i4>5</vt:i4>
      </vt:variant>
      <vt:variant>
        <vt:lpwstr>https://www.abs.gov.au/statistics/industry/industry-overview/australian-industry/2017-18</vt:lpwstr>
      </vt:variant>
      <vt:variant>
        <vt:lpwstr/>
      </vt:variant>
      <vt:variant>
        <vt:i4>6488180</vt:i4>
      </vt:variant>
      <vt:variant>
        <vt:i4>147</vt:i4>
      </vt:variant>
      <vt:variant>
        <vt:i4>0</vt:i4>
      </vt:variant>
      <vt:variant>
        <vt:i4>5</vt:i4>
      </vt:variant>
      <vt:variant>
        <vt:lpwstr>https://www.arts.gov.au/cultural-data-online/government-cultural-funding-and-participation</vt:lpwstr>
      </vt:variant>
      <vt:variant>
        <vt:lpwstr/>
      </vt:variant>
      <vt:variant>
        <vt:i4>6225946</vt:i4>
      </vt:variant>
      <vt:variant>
        <vt:i4>144</vt:i4>
      </vt:variant>
      <vt:variant>
        <vt:i4>0</vt:i4>
      </vt:variant>
      <vt:variant>
        <vt:i4>5</vt:i4>
      </vt:variant>
      <vt:variant>
        <vt:lpwstr>https://www.australiacouncil.gov.au/research/international-arts-tourism-connecting-cultures/</vt:lpwstr>
      </vt:variant>
      <vt:variant>
        <vt:lpwstr/>
      </vt:variant>
      <vt:variant>
        <vt:i4>7536693</vt:i4>
      </vt:variant>
      <vt:variant>
        <vt:i4>141</vt:i4>
      </vt:variant>
      <vt:variant>
        <vt:i4>0</vt:i4>
      </vt:variant>
      <vt:variant>
        <vt:i4>5</vt:i4>
      </vt:variant>
      <vt:variant>
        <vt:lpwstr>https://www.australiacouncil.gov.au/research/wp-content/uploads/2020/08/Creating-Our-Future-Spotlight-on-economic-value-and-future-success.pdf</vt:lpwstr>
      </vt:variant>
      <vt:variant>
        <vt:lpwstr/>
      </vt:variant>
      <vt:variant>
        <vt:i4>2424893</vt:i4>
      </vt:variant>
      <vt:variant>
        <vt:i4>138</vt:i4>
      </vt:variant>
      <vt:variant>
        <vt:i4>0</vt:i4>
      </vt:variant>
      <vt:variant>
        <vt:i4>5</vt:i4>
      </vt:variant>
      <vt:variant>
        <vt:lpwstr>https://www.infrastructure.gov.au/department/media/publications/cultural-and-creative-activity-australia-2008-09-2017-18-visual-summary</vt:lpwstr>
      </vt:variant>
      <vt:variant>
        <vt:lpwstr/>
      </vt:variant>
      <vt:variant>
        <vt:i4>2424893</vt:i4>
      </vt:variant>
      <vt:variant>
        <vt:i4>135</vt:i4>
      </vt:variant>
      <vt:variant>
        <vt:i4>0</vt:i4>
      </vt:variant>
      <vt:variant>
        <vt:i4>5</vt:i4>
      </vt:variant>
      <vt:variant>
        <vt:lpwstr>https://www.infrastructure.gov.au/department/media/publications/cultural-and-creative-activity-australia-2008-09-2017-18-visual-summary</vt:lpwstr>
      </vt:variant>
      <vt:variant>
        <vt:lpwstr/>
      </vt:variant>
      <vt:variant>
        <vt:i4>6881312</vt:i4>
      </vt:variant>
      <vt:variant>
        <vt:i4>132</vt:i4>
      </vt:variant>
      <vt:variant>
        <vt:i4>0</vt:i4>
      </vt:variant>
      <vt:variant>
        <vt:i4>5</vt:i4>
      </vt:variant>
      <vt:variant>
        <vt:lpwstr>https://australiacouncil.gov.au/advocacy-and-research/audience-outlook-monitor/</vt:lpwstr>
      </vt:variant>
      <vt:variant>
        <vt:lpwstr/>
      </vt:variant>
      <vt:variant>
        <vt:i4>3342451</vt:i4>
      </vt:variant>
      <vt:variant>
        <vt:i4>129</vt:i4>
      </vt:variant>
      <vt:variant>
        <vt:i4>0</vt:i4>
      </vt:variant>
      <vt:variant>
        <vt:i4>5</vt:i4>
      </vt:variant>
      <vt:variant>
        <vt:lpwstr>https://www.thepatternmakers.com.au/blog/2021/audience-outlook-monitor-march-2022-key-findings</vt:lpwstr>
      </vt:variant>
      <vt:variant>
        <vt:lpwstr/>
      </vt:variant>
      <vt:variant>
        <vt:i4>3342451</vt:i4>
      </vt:variant>
      <vt:variant>
        <vt:i4>126</vt:i4>
      </vt:variant>
      <vt:variant>
        <vt:i4>0</vt:i4>
      </vt:variant>
      <vt:variant>
        <vt:i4>5</vt:i4>
      </vt:variant>
      <vt:variant>
        <vt:lpwstr>https://www.thepatternmakers.com.au/blog/2021/audience-outlook-monitor-march-2022-key-findings</vt:lpwstr>
      </vt:variant>
      <vt:variant>
        <vt:lpwstr/>
      </vt:variant>
      <vt:variant>
        <vt:i4>3932264</vt:i4>
      </vt:variant>
      <vt:variant>
        <vt:i4>123</vt:i4>
      </vt:variant>
      <vt:variant>
        <vt:i4>0</vt:i4>
      </vt:variant>
      <vt:variant>
        <vt:i4>5</vt:i4>
      </vt:variant>
      <vt:variant>
        <vt:lpwstr>https://australiacouncil.gov.au/advocacy-and-research/electorate-profiles/</vt:lpwstr>
      </vt:variant>
      <vt:variant>
        <vt:lpwstr/>
      </vt:variant>
      <vt:variant>
        <vt:i4>1048604</vt:i4>
      </vt:variant>
      <vt:variant>
        <vt:i4>120</vt:i4>
      </vt:variant>
      <vt:variant>
        <vt:i4>0</vt:i4>
      </vt:variant>
      <vt:variant>
        <vt:i4>5</vt:i4>
      </vt:variant>
      <vt:variant>
        <vt:lpwstr>https://www.theguardian.com/culture/2021/dec/21/absolutely-heartbroken-event-cancellations-devastate-australias-music-industry-again</vt:lpwstr>
      </vt:variant>
      <vt:variant>
        <vt:lpwstr/>
      </vt:variant>
      <vt:variant>
        <vt:i4>3276909</vt:i4>
      </vt:variant>
      <vt:variant>
        <vt:i4>117</vt:i4>
      </vt:variant>
      <vt:variant>
        <vt:i4>0</vt:i4>
      </vt:variant>
      <vt:variant>
        <vt:i4>5</vt:i4>
      </vt:variant>
      <vt:variant>
        <vt:lpwstr>https://www.artshub.com.au/news/news/audience-hesitancy-is-omicrons-new-curse-2525315/</vt:lpwstr>
      </vt:variant>
      <vt:variant>
        <vt:lpwstr/>
      </vt:variant>
      <vt:variant>
        <vt:i4>6881312</vt:i4>
      </vt:variant>
      <vt:variant>
        <vt:i4>114</vt:i4>
      </vt:variant>
      <vt:variant>
        <vt:i4>0</vt:i4>
      </vt:variant>
      <vt:variant>
        <vt:i4>5</vt:i4>
      </vt:variant>
      <vt:variant>
        <vt:lpwstr>https://australiacouncil.gov.au/advocacy-and-research/audience-outlook-monitor/</vt:lpwstr>
      </vt:variant>
      <vt:variant>
        <vt:lpwstr/>
      </vt:variant>
      <vt:variant>
        <vt:i4>6881312</vt:i4>
      </vt:variant>
      <vt:variant>
        <vt:i4>111</vt:i4>
      </vt:variant>
      <vt:variant>
        <vt:i4>0</vt:i4>
      </vt:variant>
      <vt:variant>
        <vt:i4>5</vt:i4>
      </vt:variant>
      <vt:variant>
        <vt:lpwstr>https://australiacouncil.gov.au/advocacy-and-research/audience-outlook-monitor/</vt:lpwstr>
      </vt:variant>
      <vt:variant>
        <vt:lpwstr/>
      </vt:variant>
      <vt:variant>
        <vt:i4>6881312</vt:i4>
      </vt:variant>
      <vt:variant>
        <vt:i4>108</vt:i4>
      </vt:variant>
      <vt:variant>
        <vt:i4>0</vt:i4>
      </vt:variant>
      <vt:variant>
        <vt:i4>5</vt:i4>
      </vt:variant>
      <vt:variant>
        <vt:lpwstr>https://australiacouncil.gov.au/advocacy-and-research/audience-outlook-monitor/</vt:lpwstr>
      </vt:variant>
      <vt:variant>
        <vt:lpwstr/>
      </vt:variant>
      <vt:variant>
        <vt:i4>1048660</vt:i4>
      </vt:variant>
      <vt:variant>
        <vt:i4>105</vt:i4>
      </vt:variant>
      <vt:variant>
        <vt:i4>0</vt:i4>
      </vt:variant>
      <vt:variant>
        <vt:i4>5</vt:i4>
      </vt:variant>
      <vt:variant>
        <vt:lpwstr>https://static1.squarespace.com/static/57bfb8d99de4bb78a0b8c345/t/6153cdfa4c010f573d9c1bca/1632882180989/AOM_July2021_Fact+Sheet_Reaching_Audiences_at_Home.pdf</vt:lpwstr>
      </vt:variant>
      <vt:variant>
        <vt:lpwstr/>
      </vt:variant>
      <vt:variant>
        <vt:i4>6881312</vt:i4>
      </vt:variant>
      <vt:variant>
        <vt:i4>102</vt:i4>
      </vt:variant>
      <vt:variant>
        <vt:i4>0</vt:i4>
      </vt:variant>
      <vt:variant>
        <vt:i4>5</vt:i4>
      </vt:variant>
      <vt:variant>
        <vt:lpwstr>https://australiacouncil.gov.au/advocacy-and-research/audience-outlook-monitor/</vt:lpwstr>
      </vt:variant>
      <vt:variant>
        <vt:lpwstr/>
      </vt:variant>
      <vt:variant>
        <vt:i4>4653148</vt:i4>
      </vt:variant>
      <vt:variant>
        <vt:i4>99</vt:i4>
      </vt:variant>
      <vt:variant>
        <vt:i4>0</vt:i4>
      </vt:variant>
      <vt:variant>
        <vt:i4>5</vt:i4>
      </vt:variant>
      <vt:variant>
        <vt:lpwstr>https://australiacouncil.gov.au/advocacy-and-research/covid-19-audience-outlook-monitor-2020/</vt:lpwstr>
      </vt:variant>
      <vt:variant>
        <vt:lpwstr/>
      </vt:variant>
      <vt:variant>
        <vt:i4>4653148</vt:i4>
      </vt:variant>
      <vt:variant>
        <vt:i4>96</vt:i4>
      </vt:variant>
      <vt:variant>
        <vt:i4>0</vt:i4>
      </vt:variant>
      <vt:variant>
        <vt:i4>5</vt:i4>
      </vt:variant>
      <vt:variant>
        <vt:lpwstr>https://australiacouncil.gov.au/advocacy-and-research/covid-19-audience-outlook-monitor-2020/</vt:lpwstr>
      </vt:variant>
      <vt:variant>
        <vt:lpwstr/>
      </vt:variant>
      <vt:variant>
        <vt:i4>4653148</vt:i4>
      </vt:variant>
      <vt:variant>
        <vt:i4>93</vt:i4>
      </vt:variant>
      <vt:variant>
        <vt:i4>0</vt:i4>
      </vt:variant>
      <vt:variant>
        <vt:i4>5</vt:i4>
      </vt:variant>
      <vt:variant>
        <vt:lpwstr>https://australiacouncil.gov.au/advocacy-and-research/covid-19-audience-outlook-monitor-2020/</vt:lpwstr>
      </vt:variant>
      <vt:variant>
        <vt:lpwstr/>
      </vt:variant>
      <vt:variant>
        <vt:i4>4653148</vt:i4>
      </vt:variant>
      <vt:variant>
        <vt:i4>90</vt:i4>
      </vt:variant>
      <vt:variant>
        <vt:i4>0</vt:i4>
      </vt:variant>
      <vt:variant>
        <vt:i4>5</vt:i4>
      </vt:variant>
      <vt:variant>
        <vt:lpwstr>https://australiacouncil.gov.au/advocacy-and-research/covid-19-audience-outlook-monitor-2020/</vt:lpwstr>
      </vt:variant>
      <vt:variant>
        <vt:lpwstr/>
      </vt:variant>
      <vt:variant>
        <vt:i4>4653148</vt:i4>
      </vt:variant>
      <vt:variant>
        <vt:i4>87</vt:i4>
      </vt:variant>
      <vt:variant>
        <vt:i4>0</vt:i4>
      </vt:variant>
      <vt:variant>
        <vt:i4>5</vt:i4>
      </vt:variant>
      <vt:variant>
        <vt:lpwstr>https://australiacouncil.gov.au/advocacy-and-research/covid-19-audience-outlook-monitor-2020/</vt:lpwstr>
      </vt:variant>
      <vt:variant>
        <vt:lpwstr/>
      </vt:variant>
      <vt:variant>
        <vt:i4>4653148</vt:i4>
      </vt:variant>
      <vt:variant>
        <vt:i4>84</vt:i4>
      </vt:variant>
      <vt:variant>
        <vt:i4>0</vt:i4>
      </vt:variant>
      <vt:variant>
        <vt:i4>5</vt:i4>
      </vt:variant>
      <vt:variant>
        <vt:lpwstr>https://australiacouncil.gov.au/advocacy-and-research/covid-19-audience-outlook-monitor-2020/</vt:lpwstr>
      </vt:variant>
      <vt:variant>
        <vt:lpwstr/>
      </vt:variant>
      <vt:variant>
        <vt:i4>720989</vt:i4>
      </vt:variant>
      <vt:variant>
        <vt:i4>81</vt:i4>
      </vt:variant>
      <vt:variant>
        <vt:i4>0</vt:i4>
      </vt:variant>
      <vt:variant>
        <vt:i4>5</vt:i4>
      </vt:variant>
      <vt:variant>
        <vt:lpwstr>https://www.australiacouncil.gov.au/workspace/uploads/files/omnibus-survey-results-arts-5eb50b49e163c.pdf</vt:lpwstr>
      </vt:variant>
      <vt:variant>
        <vt:lpwstr/>
      </vt:variant>
      <vt:variant>
        <vt:i4>458762</vt:i4>
      </vt:variant>
      <vt:variant>
        <vt:i4>78</vt:i4>
      </vt:variant>
      <vt:variant>
        <vt:i4>0</vt:i4>
      </vt:variant>
      <vt:variant>
        <vt:i4>5</vt:i4>
      </vt:variant>
      <vt:variant>
        <vt:lpwstr>https://australiacouncil.gov.au/wp-content/uploads/2021/07/COVID-19-Audience-Outlook-Monitor-Fact-Sheet-Online-engagement.pdf</vt:lpwstr>
      </vt:variant>
      <vt:variant>
        <vt:lpwstr/>
      </vt:variant>
      <vt:variant>
        <vt:i4>6750251</vt:i4>
      </vt:variant>
      <vt:variant>
        <vt:i4>75</vt:i4>
      </vt:variant>
      <vt:variant>
        <vt:i4>0</vt:i4>
      </vt:variant>
      <vt:variant>
        <vt:i4>5</vt:i4>
      </vt:variant>
      <vt:variant>
        <vt:lpwstr>https://australiainstitute.org.au/report/polling-lockdown-and-the-arts/</vt:lpwstr>
      </vt:variant>
      <vt:variant>
        <vt:lpwstr/>
      </vt:variant>
      <vt:variant>
        <vt:i4>4653148</vt:i4>
      </vt:variant>
      <vt:variant>
        <vt:i4>72</vt:i4>
      </vt:variant>
      <vt:variant>
        <vt:i4>0</vt:i4>
      </vt:variant>
      <vt:variant>
        <vt:i4>5</vt:i4>
      </vt:variant>
      <vt:variant>
        <vt:lpwstr>https://australiacouncil.gov.au/advocacy-and-research/covid-19-audience-outlook-monitor-2020/</vt:lpwstr>
      </vt:variant>
      <vt:variant>
        <vt:lpwstr/>
      </vt:variant>
      <vt:variant>
        <vt:i4>720989</vt:i4>
      </vt:variant>
      <vt:variant>
        <vt:i4>69</vt:i4>
      </vt:variant>
      <vt:variant>
        <vt:i4>0</vt:i4>
      </vt:variant>
      <vt:variant>
        <vt:i4>5</vt:i4>
      </vt:variant>
      <vt:variant>
        <vt:lpwstr>https://www.australiacouncil.gov.au/workspace/uploads/files/omnibus-survey-results-arts-5eb50b49e163c.pdf</vt:lpwstr>
      </vt:variant>
      <vt:variant>
        <vt:lpwstr/>
      </vt:variant>
      <vt:variant>
        <vt:i4>3342451</vt:i4>
      </vt:variant>
      <vt:variant>
        <vt:i4>66</vt:i4>
      </vt:variant>
      <vt:variant>
        <vt:i4>0</vt:i4>
      </vt:variant>
      <vt:variant>
        <vt:i4>5</vt:i4>
      </vt:variant>
      <vt:variant>
        <vt:lpwstr>https://www.thepatternmakers.com.au/blog/2021/audience-outlook-monitor-march-2022-key-findings</vt:lpwstr>
      </vt:variant>
      <vt:variant>
        <vt:lpwstr/>
      </vt:variant>
      <vt:variant>
        <vt:i4>1245266</vt:i4>
      </vt:variant>
      <vt:variant>
        <vt:i4>63</vt:i4>
      </vt:variant>
      <vt:variant>
        <vt:i4>0</vt:i4>
      </vt:variant>
      <vt:variant>
        <vt:i4>5</vt:i4>
      </vt:variant>
      <vt:variant>
        <vt:lpwstr>https://www.abs.gov.au/statistics/economy/business-indicators/business-conditions-and-sentiments/jan-2022</vt:lpwstr>
      </vt:variant>
      <vt:variant>
        <vt:lpwstr/>
      </vt:variant>
      <vt:variant>
        <vt:i4>1048604</vt:i4>
      </vt:variant>
      <vt:variant>
        <vt:i4>60</vt:i4>
      </vt:variant>
      <vt:variant>
        <vt:i4>0</vt:i4>
      </vt:variant>
      <vt:variant>
        <vt:i4>5</vt:i4>
      </vt:variant>
      <vt:variant>
        <vt:lpwstr>https://www.theguardian.com/culture/2021/dec/21/absolutely-heartbroken-event-cancellations-devastate-australias-music-industry-again</vt:lpwstr>
      </vt:variant>
      <vt:variant>
        <vt:lpwstr/>
      </vt:variant>
      <vt:variant>
        <vt:i4>6881312</vt:i4>
      </vt:variant>
      <vt:variant>
        <vt:i4>57</vt:i4>
      </vt:variant>
      <vt:variant>
        <vt:i4>0</vt:i4>
      </vt:variant>
      <vt:variant>
        <vt:i4>5</vt:i4>
      </vt:variant>
      <vt:variant>
        <vt:lpwstr>https://australiacouncil.gov.au/advocacy-and-research/audience-outlook-monitor/</vt:lpwstr>
      </vt:variant>
      <vt:variant>
        <vt:lpwstr/>
      </vt:variant>
      <vt:variant>
        <vt:i4>6881312</vt:i4>
      </vt:variant>
      <vt:variant>
        <vt:i4>54</vt:i4>
      </vt:variant>
      <vt:variant>
        <vt:i4>0</vt:i4>
      </vt:variant>
      <vt:variant>
        <vt:i4>5</vt:i4>
      </vt:variant>
      <vt:variant>
        <vt:lpwstr>https://australiacouncil.gov.au/advocacy-and-research/audience-outlook-monitor/</vt:lpwstr>
      </vt:variant>
      <vt:variant>
        <vt:lpwstr/>
      </vt:variant>
      <vt:variant>
        <vt:i4>1245254</vt:i4>
      </vt:variant>
      <vt:variant>
        <vt:i4>51</vt:i4>
      </vt:variant>
      <vt:variant>
        <vt:i4>0</vt:i4>
      </vt:variant>
      <vt:variant>
        <vt:i4>5</vt:i4>
      </vt:variant>
      <vt:variant>
        <vt:lpwstr>https://www.abs.gov.au/statistics/economy/business-indicators/business-conditions-and-sentiments/jun-2021</vt:lpwstr>
      </vt:variant>
      <vt:variant>
        <vt:lpwstr/>
      </vt:variant>
      <vt:variant>
        <vt:i4>6881312</vt:i4>
      </vt:variant>
      <vt:variant>
        <vt:i4>48</vt:i4>
      </vt:variant>
      <vt:variant>
        <vt:i4>0</vt:i4>
      </vt:variant>
      <vt:variant>
        <vt:i4>5</vt:i4>
      </vt:variant>
      <vt:variant>
        <vt:lpwstr>https://australiacouncil.gov.au/advocacy-and-research/audience-outlook-monitor/</vt:lpwstr>
      </vt:variant>
      <vt:variant>
        <vt:lpwstr/>
      </vt:variant>
      <vt:variant>
        <vt:i4>1048662</vt:i4>
      </vt:variant>
      <vt:variant>
        <vt:i4>45</vt:i4>
      </vt:variant>
      <vt:variant>
        <vt:i4>0</vt:i4>
      </vt:variant>
      <vt:variant>
        <vt:i4>5</vt:i4>
      </vt:variant>
      <vt:variant>
        <vt:lpwstr>https://www.abs.gov.au/statistics/economy/business-indicators/business-conditions-and-sentiments/dec-2020</vt:lpwstr>
      </vt:variant>
      <vt:variant>
        <vt:lpwstr/>
      </vt:variant>
      <vt:variant>
        <vt:i4>4653148</vt:i4>
      </vt:variant>
      <vt:variant>
        <vt:i4>42</vt:i4>
      </vt:variant>
      <vt:variant>
        <vt:i4>0</vt:i4>
      </vt:variant>
      <vt:variant>
        <vt:i4>5</vt:i4>
      </vt:variant>
      <vt:variant>
        <vt:lpwstr>https://australiacouncil.gov.au/advocacy-and-research/covid-19-audience-outlook-monitor-2020/</vt:lpwstr>
      </vt:variant>
      <vt:variant>
        <vt:lpwstr/>
      </vt:variant>
      <vt:variant>
        <vt:i4>1310806</vt:i4>
      </vt:variant>
      <vt:variant>
        <vt:i4>39</vt:i4>
      </vt:variant>
      <vt:variant>
        <vt:i4>0</vt:i4>
      </vt:variant>
      <vt:variant>
        <vt:i4>5</vt:i4>
      </vt:variant>
      <vt:variant>
        <vt:lpwstr>https://www.abs.gov.au/statistics/economy/business-indicators/business-conditions-and-sentiments/sep-2020</vt:lpwstr>
      </vt:variant>
      <vt:variant>
        <vt:lpwstr/>
      </vt:variant>
      <vt:variant>
        <vt:i4>7864381</vt:i4>
      </vt:variant>
      <vt:variant>
        <vt:i4>36</vt:i4>
      </vt:variant>
      <vt:variant>
        <vt:i4>0</vt:i4>
      </vt:variant>
      <vt:variant>
        <vt:i4>5</vt:i4>
      </vt:variant>
      <vt:variant>
        <vt:lpwstr>https://www.paulfletcher.com.au/media-releases/media-release-rise-fund-and-sustainability-fund-guidelines-released</vt:lpwstr>
      </vt:variant>
      <vt:variant>
        <vt:lpwstr/>
      </vt:variant>
      <vt:variant>
        <vt:i4>4653148</vt:i4>
      </vt:variant>
      <vt:variant>
        <vt:i4>33</vt:i4>
      </vt:variant>
      <vt:variant>
        <vt:i4>0</vt:i4>
      </vt:variant>
      <vt:variant>
        <vt:i4>5</vt:i4>
      </vt:variant>
      <vt:variant>
        <vt:lpwstr>https://australiacouncil.gov.au/advocacy-and-research/covid-19-audience-outlook-monitor-2020/</vt:lpwstr>
      </vt:variant>
      <vt:variant>
        <vt:lpwstr/>
      </vt:variant>
      <vt:variant>
        <vt:i4>6750251</vt:i4>
      </vt:variant>
      <vt:variant>
        <vt:i4>30</vt:i4>
      </vt:variant>
      <vt:variant>
        <vt:i4>0</vt:i4>
      </vt:variant>
      <vt:variant>
        <vt:i4>5</vt:i4>
      </vt:variant>
      <vt:variant>
        <vt:lpwstr>https://australiainstitute.org.au/report/polling-lockdown-and-the-arts/</vt:lpwstr>
      </vt:variant>
      <vt:variant>
        <vt:lpwstr/>
      </vt:variant>
      <vt:variant>
        <vt:i4>720989</vt:i4>
      </vt:variant>
      <vt:variant>
        <vt:i4>27</vt:i4>
      </vt:variant>
      <vt:variant>
        <vt:i4>0</vt:i4>
      </vt:variant>
      <vt:variant>
        <vt:i4>5</vt:i4>
      </vt:variant>
      <vt:variant>
        <vt:lpwstr>https://www.australiacouncil.gov.au/workspace/uploads/files/omnibus-survey-results-arts-5eb50b49e163c.pdf</vt:lpwstr>
      </vt:variant>
      <vt:variant>
        <vt:lpwstr/>
      </vt:variant>
      <vt:variant>
        <vt:i4>3014690</vt:i4>
      </vt:variant>
      <vt:variant>
        <vt:i4>24</vt:i4>
      </vt:variant>
      <vt:variant>
        <vt:i4>0</vt:i4>
      </vt:variant>
      <vt:variant>
        <vt:i4>5</vt:i4>
      </vt:variant>
      <vt:variant>
        <vt:lpwstr>https://desart.com.au/publication/art-centres-and-covid19-impact-statement/</vt:lpwstr>
      </vt:variant>
      <vt:variant>
        <vt:lpwstr/>
      </vt:variant>
      <vt:variant>
        <vt:i4>4653148</vt:i4>
      </vt:variant>
      <vt:variant>
        <vt:i4>21</vt:i4>
      </vt:variant>
      <vt:variant>
        <vt:i4>0</vt:i4>
      </vt:variant>
      <vt:variant>
        <vt:i4>5</vt:i4>
      </vt:variant>
      <vt:variant>
        <vt:lpwstr>https://australiacouncil.gov.au/advocacy-and-research/covid-19-audience-outlook-monitor-2020/</vt:lpwstr>
      </vt:variant>
      <vt:variant>
        <vt:lpwstr/>
      </vt:variant>
      <vt:variant>
        <vt:i4>262211</vt:i4>
      </vt:variant>
      <vt:variant>
        <vt:i4>18</vt:i4>
      </vt:variant>
      <vt:variant>
        <vt:i4>0</vt:i4>
      </vt:variant>
      <vt:variant>
        <vt:i4>5</vt:i4>
      </vt:variant>
      <vt:variant>
        <vt:lpwstr>https://www.abs.gov.au/statistics/economy/business-indicators/business-conditions-and-sentiments/apr-2020</vt:lpwstr>
      </vt:variant>
      <vt:variant>
        <vt:lpwstr/>
      </vt:variant>
      <vt:variant>
        <vt:i4>917526</vt:i4>
      </vt:variant>
      <vt:variant>
        <vt:i4>15</vt:i4>
      </vt:variant>
      <vt:variant>
        <vt:i4>0</vt:i4>
      </vt:variant>
      <vt:variant>
        <vt:i4>5</vt:i4>
      </vt:variant>
      <vt:variant>
        <vt:lpwstr>https://australiacouncil.gov.au/about-us/our-covid-19-response/covid-19-research/</vt:lpwstr>
      </vt:variant>
      <vt:variant>
        <vt:lpwstr/>
      </vt:variant>
      <vt:variant>
        <vt:i4>524370</vt:i4>
      </vt:variant>
      <vt:variant>
        <vt:i4>12</vt:i4>
      </vt:variant>
      <vt:variant>
        <vt:i4>0</vt:i4>
      </vt:variant>
      <vt:variant>
        <vt:i4>5</vt:i4>
      </vt:variant>
      <vt:variant>
        <vt:lpwstr>https://www.abs.gov.au/statistics/economy/business-indicators/business-conditions-and-sentiments/mar-2020</vt:lpwstr>
      </vt:variant>
      <vt:variant>
        <vt:lpwstr/>
      </vt:variant>
      <vt:variant>
        <vt:i4>8192062</vt:i4>
      </vt:variant>
      <vt:variant>
        <vt:i4>9</vt:i4>
      </vt:variant>
      <vt:variant>
        <vt:i4>0</vt:i4>
      </vt:variant>
      <vt:variant>
        <vt:i4>5</vt:i4>
      </vt:variant>
      <vt:variant>
        <vt:lpwstr>https://www.theage.com.au/culture/music/you-saved-our-lives-digital-concert-hall-celebrates-its-extraordinary-year-20210329-p57ex6.html</vt:lpwstr>
      </vt:variant>
      <vt:variant>
        <vt:lpwstr/>
      </vt:variant>
      <vt:variant>
        <vt:i4>3342451</vt:i4>
      </vt:variant>
      <vt:variant>
        <vt:i4>6</vt:i4>
      </vt:variant>
      <vt:variant>
        <vt:i4>0</vt:i4>
      </vt:variant>
      <vt:variant>
        <vt:i4>5</vt:i4>
      </vt:variant>
      <vt:variant>
        <vt:lpwstr>https://www.thepatternmakers.com.au/blog/2021/audience-outlook-monitor-march-2022-key-findings</vt:lpwstr>
      </vt:variant>
      <vt:variant>
        <vt:lpwstr/>
      </vt:variant>
      <vt:variant>
        <vt:i4>3276909</vt:i4>
      </vt:variant>
      <vt:variant>
        <vt:i4>3</vt:i4>
      </vt:variant>
      <vt:variant>
        <vt:i4>0</vt:i4>
      </vt:variant>
      <vt:variant>
        <vt:i4>5</vt:i4>
      </vt:variant>
      <vt:variant>
        <vt:lpwstr>https://www.artshub.com.au/news/news/audience-hesitancy-is-omicrons-new-curse-2525315/</vt:lpwstr>
      </vt:variant>
      <vt:variant>
        <vt:lpwstr/>
      </vt:variant>
      <vt:variant>
        <vt:i4>4522060</vt:i4>
      </vt:variant>
      <vt:variant>
        <vt:i4>0</vt:i4>
      </vt:variant>
      <vt:variant>
        <vt:i4>0</vt:i4>
      </vt:variant>
      <vt:variant>
        <vt:i4>5</vt:i4>
      </vt:variant>
      <vt:variant>
        <vt:lpwstr>https://www.infrastructure.gov.au/media-centre/publications/characteristics-employment-and-business-activity-cultural-and-creative-sectors-fact-sheet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Impacts of COVID-19 on the Cultural and Creative Industries</dc:title>
  <dc:subject/>
  <dc:creator>Zoe Willox</dc:creator>
  <cp:keywords/>
  <cp:lastModifiedBy>Cynthia Crespo</cp:lastModifiedBy>
  <cp:revision>25</cp:revision>
  <cp:lastPrinted>2022-08-12T00:58:00Z</cp:lastPrinted>
  <dcterms:created xsi:type="dcterms:W3CDTF">2022-07-29T01:21:00Z</dcterms:created>
  <dcterms:modified xsi:type="dcterms:W3CDTF">2022-08-12T00:58:00Z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pic">
    <vt:lpwstr/>
  </property>
  <property fmtid="{D5CDD505-2E9C-101B-9397-08002B2CF9AE}" pid="3" name="ContentTypeId">
    <vt:lpwstr>0x010100E387570059B2A749AFEB864DE0479DFC030038DF7BF1FA0A7C49AA834E3E7523FDD7</vt:lpwstr>
  </property>
  <property fmtid="{D5CDD505-2E9C-101B-9397-08002B2CF9AE}" pid="4" name="HelpTopic">
    <vt:lpwstr/>
  </property>
  <property fmtid="{D5CDD505-2E9C-101B-9397-08002B2CF9AE}" pid="5" name="BusUnit">
    <vt:lpwstr>2;#Marketing and Communications|b5d747dd-6ea9-489e-9ba8-4afc49050f3c</vt:lpwstr>
  </property>
  <property fmtid="{D5CDD505-2E9C-101B-9397-08002B2CF9AE}" pid="6" name="DisposalClass">
    <vt:lpwstr>1;#Communications operational tasks (20443)|e26a452f-7cd1-4aa4-b0a9-7c945d169daa</vt:lpwstr>
  </property>
  <property fmtid="{D5CDD505-2E9C-101B-9397-08002B2CF9AE}" pid="7" name="_dlc_DocIdItemGuid">
    <vt:lpwstr>79925a8c-7adc-4113-9c4d-138a64bcafaa</vt:lpwstr>
  </property>
  <property fmtid="{D5CDD505-2E9C-101B-9397-08002B2CF9AE}" pid="8" name="DocType">
    <vt:lpwstr>3;#Working documents|d525bb69-a84f-433c-abbc-a1046adc08ec</vt:lpwstr>
  </property>
  <property fmtid="{D5CDD505-2E9C-101B-9397-08002B2CF9AE}" pid="9" name="jf9db096445547c398370b81b1ab2638">
    <vt:lpwstr/>
  </property>
  <property fmtid="{D5CDD505-2E9C-101B-9397-08002B2CF9AE}" pid="10" name="Harradine">
    <vt:bool>true</vt:bool>
  </property>
  <property fmtid="{D5CDD505-2E9C-101B-9397-08002B2CF9AE}" pid="11" name="BCS_x0020_Function">
    <vt:lpwstr/>
  </property>
  <property fmtid="{D5CDD505-2E9C-101B-9397-08002B2CF9AE}" pid="12" name="BCS Function">
    <vt:lpwstr/>
  </property>
  <property fmtid="{D5CDD505-2E9C-101B-9397-08002B2CF9AE}" pid="13" name="MSIP_Label_052f1c6a-fbf1-42aa-8e7a-bc99adb0e707_Enabled">
    <vt:lpwstr>true</vt:lpwstr>
  </property>
  <property fmtid="{D5CDD505-2E9C-101B-9397-08002B2CF9AE}" pid="14" name="MSIP_Label_052f1c6a-fbf1-42aa-8e7a-bc99adb0e707_SetDate">
    <vt:lpwstr>2022-05-20T01:49:01Z</vt:lpwstr>
  </property>
  <property fmtid="{D5CDD505-2E9C-101B-9397-08002B2CF9AE}" pid="15" name="MSIP_Label_052f1c6a-fbf1-42aa-8e7a-bc99adb0e707_Method">
    <vt:lpwstr>Standard</vt:lpwstr>
  </property>
  <property fmtid="{D5CDD505-2E9C-101B-9397-08002B2CF9AE}" pid="16" name="MSIP_Label_052f1c6a-fbf1-42aa-8e7a-bc99adb0e707_Name">
    <vt:lpwstr>Official</vt:lpwstr>
  </property>
  <property fmtid="{D5CDD505-2E9C-101B-9397-08002B2CF9AE}" pid="17" name="MSIP_Label_052f1c6a-fbf1-42aa-8e7a-bc99adb0e707_SiteId">
    <vt:lpwstr>0cb09623-aeaf-4018-a223-80d95a375884</vt:lpwstr>
  </property>
  <property fmtid="{D5CDD505-2E9C-101B-9397-08002B2CF9AE}" pid="18" name="MSIP_Label_052f1c6a-fbf1-42aa-8e7a-bc99adb0e707_ActionId">
    <vt:lpwstr>1c8d0db8-f106-4944-8a53-d328c23b666d</vt:lpwstr>
  </property>
  <property fmtid="{D5CDD505-2E9C-101B-9397-08002B2CF9AE}" pid="19" name="MSIP_Label_052f1c6a-fbf1-42aa-8e7a-bc99adb0e707_ContentBits">
    <vt:lpwstr>0</vt:lpwstr>
  </property>
  <property fmtid="{D5CDD505-2E9C-101B-9397-08002B2CF9AE}" pid="20" name="Vendor">
    <vt:lpwstr/>
  </property>
  <property fmtid="{D5CDD505-2E9C-101B-9397-08002B2CF9AE}" pid="21" name="l4a874a51d204e6f92f073b93d89109a">
    <vt:lpwstr/>
  </property>
  <property fmtid="{D5CDD505-2E9C-101B-9397-08002B2CF9AE}" pid="22" name="ResearchTopics">
    <vt:lpwstr/>
  </property>
  <property fmtid="{D5CDD505-2E9C-101B-9397-08002B2CF9AE}" pid="23" name="ProjectName">
    <vt:lpwstr/>
  </property>
  <property fmtid="{D5CDD505-2E9C-101B-9397-08002B2CF9AE}" pid="24" name="p01d225315a94598b4466c5e97e60147">
    <vt:lpwstr/>
  </property>
  <property fmtid="{D5CDD505-2E9C-101B-9397-08002B2CF9AE}" pid="25" name="ResearchPartner">
    <vt:lpwstr/>
  </property>
  <property fmtid="{D5CDD505-2E9C-101B-9397-08002B2CF9AE}" pid="26" name="SharedWithUsers">
    <vt:lpwstr>40;#Rebecca Mostyn;#307;#Catherine Davis;#822;#Anita Strezova;#67;#Brianna Roberts;#1072;#Zoe Taylor;#751;#Brahmmi Kumarasamy;#720;#Georgie McClean;#22;#Tim Blackwell;#107;#Adrian Collette;#312;#Alice Nash;#565;#Franchesca Cubillo;#269;#Christen Cornell;#742;#Cynthia Crespo</vt:lpwstr>
  </property>
  <property fmtid="{D5CDD505-2E9C-101B-9397-08002B2CF9AE}" pid="27" name="MediaServiceImageTags">
    <vt:lpwstr/>
  </property>
  <property fmtid="{D5CDD505-2E9C-101B-9397-08002B2CF9AE}" pid="28" name="lcf76f155ced4ddcb4097134ff3c332f">
    <vt:lpwstr/>
  </property>
</Properties>
</file>